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3A27" w14:textId="341C6210" w:rsidR="0057676E" w:rsidRDefault="0057676E" w:rsidP="00F33ED4">
      <w:pPr>
        <w:rPr>
          <w:b/>
          <w:bCs/>
          <w:color w:val="003B5C"/>
          <w:sz w:val="28"/>
          <w:szCs w:val="28"/>
        </w:rPr>
      </w:pPr>
      <w:r w:rsidRPr="0057676E">
        <w:rPr>
          <w:b/>
          <w:bCs/>
          <w:color w:val="003B5C"/>
          <w:sz w:val="28"/>
          <w:szCs w:val="28"/>
        </w:rPr>
        <w:t>Dražší nájem ještě neznamená dražší kancelář. O skutečných nákladech nerozhoduje jen cena za metr</w:t>
      </w:r>
    </w:p>
    <w:p w14:paraId="382C8317" w14:textId="2F8BA11A" w:rsidR="004C6BC6" w:rsidRDefault="004C6BC6" w:rsidP="00F33ED4">
      <w:pPr>
        <w:rPr>
          <w:b/>
          <w:bCs/>
          <w:color w:val="003B5C"/>
          <w:sz w:val="24"/>
          <w:szCs w:val="24"/>
        </w:rPr>
      </w:pPr>
      <w:r w:rsidRPr="004C6BC6">
        <w:rPr>
          <w:b/>
          <w:bCs/>
          <w:color w:val="003B5C"/>
          <w:sz w:val="24"/>
          <w:szCs w:val="24"/>
        </w:rPr>
        <w:t xml:space="preserve">Při výběru nových kanceláří firmy často jako první porovnávají cenu nájmu za metr čtvereční. Právě kvůli ní mohou moderní kancelářské budovy na první pohled působit jako dražší varianta. Samotné nájemné ale neukazuje, kolik bude firma za kanceláře skutečně platit. Nižší cena za metr může být vykoupena vyššími náklady na provoz a energie nebo tím, že si firma musí pronajmout a vybudovat více vlastního zázemí. Do celkového účtu navíc vstupují i náklady spojené s úpravou nových prostor a stěhováním. Podle společnosti </w:t>
      </w:r>
      <w:proofErr w:type="spellStart"/>
      <w:r w:rsidRPr="004C6BC6">
        <w:rPr>
          <w:b/>
          <w:bCs/>
          <w:color w:val="003B5C"/>
          <w:sz w:val="24"/>
          <w:szCs w:val="24"/>
        </w:rPr>
        <w:t>Passerinvest</w:t>
      </w:r>
      <w:proofErr w:type="spellEnd"/>
      <w:r w:rsidRPr="004C6BC6">
        <w:rPr>
          <w:b/>
          <w:bCs/>
          <w:color w:val="003B5C"/>
          <w:sz w:val="24"/>
          <w:szCs w:val="24"/>
        </w:rPr>
        <w:t xml:space="preserve"> Group proto může </w:t>
      </w:r>
      <w:hyperlink r:id="rId9" w:anchor="obsah_kancelare" w:history="1">
        <w:r w:rsidRPr="006D47DB">
          <w:rPr>
            <w:rStyle w:val="Hypertextovodkaz"/>
            <w:b/>
            <w:bCs/>
            <w:sz w:val="24"/>
            <w:szCs w:val="24"/>
          </w:rPr>
          <w:t>kancelář</w:t>
        </w:r>
      </w:hyperlink>
      <w:r w:rsidRPr="004C6BC6">
        <w:rPr>
          <w:b/>
          <w:bCs/>
          <w:color w:val="003B5C"/>
          <w:sz w:val="24"/>
          <w:szCs w:val="24"/>
        </w:rPr>
        <w:t xml:space="preserve"> s vyšším základním nájemným nakonec vyjít </w:t>
      </w:r>
      <w:r w:rsidR="00773D10">
        <w:rPr>
          <w:b/>
          <w:bCs/>
          <w:color w:val="003B5C"/>
          <w:sz w:val="24"/>
          <w:szCs w:val="24"/>
        </w:rPr>
        <w:t xml:space="preserve">i </w:t>
      </w:r>
      <w:r w:rsidRPr="004C6BC6">
        <w:rPr>
          <w:b/>
          <w:bCs/>
          <w:color w:val="003B5C"/>
          <w:sz w:val="24"/>
          <w:szCs w:val="24"/>
        </w:rPr>
        <w:t>levněji než ta s nižší cenou za metr.</w:t>
      </w:r>
    </w:p>
    <w:p w14:paraId="41D72693" w14:textId="5EA0BEDF" w:rsidR="00AA6AC4" w:rsidRDefault="00AA6AC4" w:rsidP="00C31285">
      <w:pPr>
        <w:rPr>
          <w:color w:val="003B5C"/>
          <w:sz w:val="24"/>
          <w:szCs w:val="24"/>
        </w:rPr>
      </w:pPr>
      <w:r w:rsidRPr="00AA6AC4">
        <w:rPr>
          <w:color w:val="003B5C"/>
          <w:sz w:val="24"/>
          <w:szCs w:val="24"/>
        </w:rPr>
        <w:t xml:space="preserve">Rozdíl může být patrný už u pravidelných měsíčních nákladů na provoz budovy. </w:t>
      </w:r>
      <w:proofErr w:type="spellStart"/>
      <w:r w:rsidRPr="00AA6AC4">
        <w:rPr>
          <w:color w:val="003B5C"/>
          <w:sz w:val="24"/>
          <w:szCs w:val="24"/>
        </w:rPr>
        <w:t>Passerinvest</w:t>
      </w:r>
      <w:proofErr w:type="spellEnd"/>
      <w:r w:rsidRPr="00AA6AC4">
        <w:rPr>
          <w:color w:val="003B5C"/>
          <w:sz w:val="24"/>
          <w:szCs w:val="24"/>
        </w:rPr>
        <w:t xml:space="preserve"> Group to ukazuje na příkladu připravované kancelářské </w:t>
      </w:r>
      <w:hyperlink r:id="rId10" w:anchor="dostupnost" w:history="1">
        <w:r w:rsidRPr="006D47DB">
          <w:rPr>
            <w:rStyle w:val="Hypertextovodkaz"/>
            <w:sz w:val="24"/>
            <w:szCs w:val="24"/>
          </w:rPr>
          <w:t xml:space="preserve">budovy </w:t>
        </w:r>
        <w:proofErr w:type="spellStart"/>
        <w:r w:rsidRPr="006D47DB">
          <w:rPr>
            <w:rStyle w:val="Hypertextovodkaz"/>
            <w:sz w:val="24"/>
            <w:szCs w:val="24"/>
          </w:rPr>
          <w:t>Sequoia</w:t>
        </w:r>
        <w:proofErr w:type="spellEnd"/>
      </w:hyperlink>
      <w:r w:rsidRPr="00AA6AC4">
        <w:rPr>
          <w:color w:val="003B5C"/>
          <w:sz w:val="24"/>
          <w:szCs w:val="24"/>
        </w:rPr>
        <w:t xml:space="preserve"> v pražských Nových Roztylech, kde pro </w:t>
      </w:r>
      <w:r w:rsidRPr="003E3D3B">
        <w:rPr>
          <w:color w:val="003B5C"/>
          <w:sz w:val="24"/>
          <w:szCs w:val="24"/>
        </w:rPr>
        <w:t>rok 2027</w:t>
      </w:r>
      <w:r w:rsidRPr="00AA6AC4">
        <w:rPr>
          <w:color w:val="003B5C"/>
          <w:sz w:val="24"/>
          <w:szCs w:val="24"/>
        </w:rPr>
        <w:t xml:space="preserve"> počítá s odhadovaným servisním poplatkem 87 Kč za m² měsíčně. </w:t>
      </w:r>
      <w:r w:rsidR="00EA2F45" w:rsidRPr="00EA2F45">
        <w:rPr>
          <w:color w:val="003B5C"/>
          <w:sz w:val="24"/>
          <w:szCs w:val="24"/>
        </w:rPr>
        <w:t>Spotřeba energií přímo v prostorách nájemce</w:t>
      </w:r>
      <w:r w:rsidRPr="00AA6AC4">
        <w:rPr>
          <w:color w:val="003B5C"/>
          <w:sz w:val="24"/>
          <w:szCs w:val="24"/>
        </w:rPr>
        <w:t xml:space="preserve"> je přitom oddělena a odhadována na dalších přibližně 24 Kč za m². U řady kvalitních pražských kancelářských budov se podle společnosti samotné servisní poplatky pohybují kolem 120 až 1</w:t>
      </w:r>
      <w:r w:rsidR="00773D10">
        <w:rPr>
          <w:color w:val="003B5C"/>
          <w:sz w:val="24"/>
          <w:szCs w:val="24"/>
        </w:rPr>
        <w:t>6</w:t>
      </w:r>
      <w:r w:rsidRPr="00AA6AC4">
        <w:rPr>
          <w:color w:val="003B5C"/>
          <w:sz w:val="24"/>
          <w:szCs w:val="24"/>
        </w:rPr>
        <w:t>0 Kč za m² měsíčně</w:t>
      </w:r>
      <w:r w:rsidR="00773D10">
        <w:rPr>
          <w:color w:val="003B5C"/>
          <w:sz w:val="24"/>
          <w:szCs w:val="24"/>
        </w:rPr>
        <w:t xml:space="preserve">, </w:t>
      </w:r>
      <w:r w:rsidR="000364AE">
        <w:rPr>
          <w:color w:val="003B5C"/>
          <w:sz w:val="24"/>
          <w:szCs w:val="24"/>
        </w:rPr>
        <w:t xml:space="preserve">k tomu je ještě třeba připočítat přímou spotřebu médií. </w:t>
      </w:r>
      <w:r w:rsidRPr="00AA6AC4">
        <w:rPr>
          <w:color w:val="003B5C"/>
          <w:sz w:val="24"/>
          <w:szCs w:val="24"/>
        </w:rPr>
        <w:t xml:space="preserve">Rozdíl několika desítek korun na jednom metru se může zdát malý, u větších pronajatých ploch </w:t>
      </w:r>
      <w:r w:rsidR="00063DED">
        <w:rPr>
          <w:color w:val="003B5C"/>
          <w:sz w:val="24"/>
          <w:szCs w:val="24"/>
        </w:rPr>
        <w:t>však</w:t>
      </w:r>
      <w:r w:rsidRPr="00AA6AC4">
        <w:rPr>
          <w:color w:val="003B5C"/>
          <w:sz w:val="24"/>
          <w:szCs w:val="24"/>
        </w:rPr>
        <w:t xml:space="preserve"> může znamenat milionové částky ročně.</w:t>
      </w:r>
    </w:p>
    <w:p w14:paraId="3D6D2710" w14:textId="7FC7A383" w:rsidR="006F68C3" w:rsidRPr="00C31285" w:rsidRDefault="006F68C3" w:rsidP="00C31285">
      <w:pPr>
        <w:rPr>
          <w:color w:val="003B5C"/>
          <w:sz w:val="24"/>
          <w:szCs w:val="24"/>
        </w:rPr>
      </w:pPr>
      <w:r w:rsidRPr="006F68C3">
        <w:rPr>
          <w:i/>
          <w:iCs/>
          <w:color w:val="003B5C"/>
          <w:sz w:val="24"/>
          <w:szCs w:val="24"/>
        </w:rPr>
        <w:t>„Pokud si firma pronajímá 10 000 m², rozdíl 40 Kč za metr znamená 4,8 milionu korun ročně. Při desetileté smlouvě už se bavíme o částce, kterou nemá smysl schovávat někam do poznámky pod čarou za nájemné. Právě proto se při debatách s klienty o ceně kanceláře snažím</w:t>
      </w:r>
      <w:r w:rsidR="00773D10">
        <w:rPr>
          <w:i/>
          <w:iCs/>
          <w:color w:val="003B5C"/>
          <w:sz w:val="24"/>
          <w:szCs w:val="24"/>
        </w:rPr>
        <w:t>e</w:t>
      </w:r>
      <w:r w:rsidRPr="006F68C3">
        <w:rPr>
          <w:i/>
          <w:iCs/>
          <w:color w:val="003B5C"/>
          <w:sz w:val="24"/>
          <w:szCs w:val="24"/>
        </w:rPr>
        <w:t xml:space="preserve"> nedívat jen na </w:t>
      </w:r>
      <w:proofErr w:type="spellStart"/>
      <w:r w:rsidRPr="006F68C3">
        <w:rPr>
          <w:i/>
          <w:iCs/>
          <w:color w:val="003B5C"/>
          <w:sz w:val="24"/>
          <w:szCs w:val="24"/>
        </w:rPr>
        <w:t>headline</w:t>
      </w:r>
      <w:proofErr w:type="spellEnd"/>
      <w:r w:rsidRPr="006F68C3">
        <w:rPr>
          <w:i/>
          <w:iCs/>
          <w:color w:val="003B5C"/>
          <w:sz w:val="24"/>
          <w:szCs w:val="24"/>
        </w:rPr>
        <w:t xml:space="preserve"> rent. Podstatnější otázka pro mě je, kolik bude firma za své kanceláře skutečně platit každý měsíc a kolik ji budou stát za celé období nájmu. Jakmile do výpočtu přidáme servisní náklady, energie, fit-out a pobídky, začne být porovnání nové a starší budovy podstatně zajímavější,“</w:t>
      </w:r>
      <w:r w:rsidRPr="006F68C3">
        <w:rPr>
          <w:color w:val="003B5C"/>
          <w:sz w:val="24"/>
          <w:szCs w:val="24"/>
        </w:rPr>
        <w:t xml:space="preserve"> </w:t>
      </w:r>
      <w:r w:rsidR="00063DED">
        <w:rPr>
          <w:color w:val="003B5C"/>
          <w:sz w:val="24"/>
          <w:szCs w:val="24"/>
        </w:rPr>
        <w:t xml:space="preserve">vysvětluje </w:t>
      </w:r>
      <w:r w:rsidRPr="006F68C3">
        <w:rPr>
          <w:color w:val="003B5C"/>
          <w:sz w:val="24"/>
          <w:szCs w:val="24"/>
        </w:rPr>
        <w:t xml:space="preserve">Eduard Forejt, ředitel rozvoje obchodu společnosti </w:t>
      </w:r>
      <w:proofErr w:type="spellStart"/>
      <w:r w:rsidRPr="006F68C3">
        <w:rPr>
          <w:color w:val="003B5C"/>
          <w:sz w:val="24"/>
          <w:szCs w:val="24"/>
        </w:rPr>
        <w:t>Passerinvest</w:t>
      </w:r>
      <w:proofErr w:type="spellEnd"/>
      <w:r w:rsidRPr="006F68C3">
        <w:rPr>
          <w:color w:val="003B5C"/>
          <w:sz w:val="24"/>
          <w:szCs w:val="24"/>
        </w:rPr>
        <w:t xml:space="preserve"> Group.</w:t>
      </w:r>
    </w:p>
    <w:p w14:paraId="5B0DC108" w14:textId="7326C25E" w:rsidR="00B81177" w:rsidRPr="00C31285" w:rsidRDefault="00B81177" w:rsidP="00C31285">
      <w:pPr>
        <w:rPr>
          <w:b/>
          <w:bCs/>
          <w:color w:val="003B5C"/>
          <w:sz w:val="24"/>
          <w:szCs w:val="24"/>
        </w:rPr>
      </w:pPr>
      <w:r w:rsidRPr="00B81177">
        <w:rPr>
          <w:b/>
          <w:bCs/>
          <w:color w:val="003B5C"/>
          <w:sz w:val="24"/>
          <w:szCs w:val="24"/>
        </w:rPr>
        <w:t>Náklady na provoz</w:t>
      </w:r>
      <w:r>
        <w:rPr>
          <w:b/>
          <w:bCs/>
          <w:color w:val="003B5C"/>
          <w:sz w:val="24"/>
          <w:szCs w:val="24"/>
        </w:rPr>
        <w:t xml:space="preserve"> zásadně</w:t>
      </w:r>
      <w:r w:rsidRPr="00B81177">
        <w:rPr>
          <w:b/>
          <w:bCs/>
          <w:color w:val="003B5C"/>
          <w:sz w:val="24"/>
          <w:szCs w:val="24"/>
        </w:rPr>
        <w:t xml:space="preserve"> ovlivňuje i spotřeba energie</w:t>
      </w:r>
    </w:p>
    <w:p w14:paraId="307FE5C0" w14:textId="443B5372" w:rsidR="00517D5B" w:rsidRPr="00517D5B" w:rsidRDefault="00517D5B" w:rsidP="00517D5B">
      <w:pPr>
        <w:rPr>
          <w:color w:val="003B5C"/>
          <w:sz w:val="24"/>
          <w:szCs w:val="24"/>
        </w:rPr>
      </w:pPr>
      <w:r w:rsidRPr="00517D5B">
        <w:rPr>
          <w:color w:val="003B5C"/>
          <w:sz w:val="24"/>
          <w:szCs w:val="24"/>
        </w:rPr>
        <w:t xml:space="preserve">Významnou část pravidelných nákladů na provoz kanceláří tvoří také energie. Jejich spotřebu přitom ovlivňuje už samotný návrh budovy a způsob, jakým spolu fungují technologie zajišťující například vytápění, chlazení nebo </w:t>
      </w:r>
      <w:r w:rsidR="004B4393">
        <w:rPr>
          <w:color w:val="003B5C"/>
          <w:sz w:val="24"/>
          <w:szCs w:val="24"/>
        </w:rPr>
        <w:t>a</w:t>
      </w:r>
      <w:r w:rsidR="001B2E48">
        <w:rPr>
          <w:color w:val="003B5C"/>
          <w:sz w:val="24"/>
          <w:szCs w:val="24"/>
        </w:rPr>
        <w:t>utomati</w:t>
      </w:r>
      <w:r w:rsidR="00720738">
        <w:rPr>
          <w:color w:val="003B5C"/>
          <w:sz w:val="24"/>
          <w:szCs w:val="24"/>
        </w:rPr>
        <w:t>cké</w:t>
      </w:r>
      <w:r w:rsidR="004B4393">
        <w:rPr>
          <w:color w:val="003B5C"/>
          <w:sz w:val="24"/>
          <w:szCs w:val="24"/>
        </w:rPr>
        <w:t xml:space="preserve"> </w:t>
      </w:r>
      <w:r w:rsidRPr="00517D5B">
        <w:rPr>
          <w:color w:val="003B5C"/>
          <w:sz w:val="24"/>
          <w:szCs w:val="24"/>
        </w:rPr>
        <w:t>řízení vnitřního prostředí.</w:t>
      </w:r>
    </w:p>
    <w:p w14:paraId="359DC8A6" w14:textId="030085DA" w:rsidR="00517D5B" w:rsidRPr="00517D5B" w:rsidRDefault="00517D5B" w:rsidP="00517D5B">
      <w:pPr>
        <w:rPr>
          <w:color w:val="003B5C"/>
          <w:sz w:val="24"/>
          <w:szCs w:val="24"/>
        </w:rPr>
      </w:pPr>
      <w:hyperlink r:id="rId11" w:history="1">
        <w:r w:rsidRPr="006D47DB">
          <w:rPr>
            <w:rStyle w:val="Hypertextovodkaz"/>
            <w:sz w:val="24"/>
            <w:szCs w:val="24"/>
          </w:rPr>
          <w:t xml:space="preserve">V projektu </w:t>
        </w:r>
        <w:proofErr w:type="spellStart"/>
        <w:r w:rsidRPr="006D47DB">
          <w:rPr>
            <w:rStyle w:val="Hypertextovodkaz"/>
            <w:sz w:val="24"/>
            <w:szCs w:val="24"/>
          </w:rPr>
          <w:t>Sequoia</w:t>
        </w:r>
        <w:proofErr w:type="spellEnd"/>
      </w:hyperlink>
      <w:r w:rsidRPr="00517D5B">
        <w:rPr>
          <w:color w:val="003B5C"/>
          <w:sz w:val="24"/>
          <w:szCs w:val="24"/>
        </w:rPr>
        <w:t xml:space="preserve"> proto </w:t>
      </w:r>
      <w:proofErr w:type="spellStart"/>
      <w:r w:rsidRPr="00517D5B">
        <w:rPr>
          <w:color w:val="003B5C"/>
          <w:sz w:val="24"/>
          <w:szCs w:val="24"/>
        </w:rPr>
        <w:t>Passerinvest</w:t>
      </w:r>
      <w:proofErr w:type="spellEnd"/>
      <w:r w:rsidRPr="00517D5B">
        <w:rPr>
          <w:color w:val="003B5C"/>
          <w:sz w:val="24"/>
          <w:szCs w:val="24"/>
        </w:rPr>
        <w:t xml:space="preserve"> Group počítá s kombinací tepelných čerpadel, fotovoltaiky, sálavých stropů, venkovních žaluzií a inteligentního řízení budovy. Cílem je dostat celkovou dodanou </w:t>
      </w:r>
      <w:r w:rsidRPr="00517D5B">
        <w:rPr>
          <w:color w:val="003B5C"/>
          <w:sz w:val="24"/>
          <w:szCs w:val="24"/>
        </w:rPr>
        <w:lastRenderedPageBreak/>
        <w:t xml:space="preserve">energii přibližně na 30 kWh/m² ročně, a to při zachování vysokého komfortu pro uživatele. Budova zároveň míří na certifikaci BREEAM </w:t>
      </w:r>
      <w:proofErr w:type="spellStart"/>
      <w:r w:rsidRPr="00517D5B">
        <w:rPr>
          <w:color w:val="003B5C"/>
          <w:sz w:val="24"/>
          <w:szCs w:val="24"/>
        </w:rPr>
        <w:t>Outstanding</w:t>
      </w:r>
      <w:proofErr w:type="spellEnd"/>
      <w:r w:rsidRPr="00517D5B">
        <w:rPr>
          <w:color w:val="003B5C"/>
          <w:sz w:val="24"/>
          <w:szCs w:val="24"/>
        </w:rPr>
        <w:t xml:space="preserve"> a splnění požadavků EU taxonomie.</w:t>
      </w:r>
    </w:p>
    <w:p w14:paraId="5DCC9E3A" w14:textId="4EC22959" w:rsidR="00946198" w:rsidRPr="00517D5B" w:rsidRDefault="005816A1" w:rsidP="00517D5B">
      <w:pPr>
        <w:rPr>
          <w:color w:val="003B5C"/>
          <w:sz w:val="24"/>
          <w:szCs w:val="24"/>
        </w:rPr>
      </w:pPr>
      <w:r>
        <w:rPr>
          <w:color w:val="003B5C"/>
          <w:sz w:val="24"/>
          <w:szCs w:val="24"/>
        </w:rPr>
        <w:t>„</w:t>
      </w:r>
      <w:r w:rsidR="00946198" w:rsidRPr="00AA7C3E">
        <w:rPr>
          <w:i/>
          <w:iCs/>
          <w:color w:val="003B5C"/>
          <w:sz w:val="24"/>
          <w:szCs w:val="24"/>
        </w:rPr>
        <w:t>Udržitelnost se podle mě nejlépe pozná v běžném provozu. Můžeme mít špičkové certifikace, ale nakonec rozhoduje, kolik energie budova potřebuje, jak hospodaří s vodou, jak efektivně fungují její technologie a jaké provozní náklady vytváří. U</w:t>
      </w:r>
      <w:r w:rsidR="00E00DEC">
        <w:rPr>
          <w:i/>
          <w:iCs/>
          <w:color w:val="003B5C"/>
          <w:sz w:val="24"/>
          <w:szCs w:val="24"/>
        </w:rPr>
        <w:t xml:space="preserve"> projektu</w:t>
      </w:r>
      <w:r w:rsidR="00946198" w:rsidRPr="00AA7C3E">
        <w:rPr>
          <w:i/>
          <w:iCs/>
          <w:color w:val="003B5C"/>
          <w:sz w:val="24"/>
          <w:szCs w:val="24"/>
        </w:rPr>
        <w:t xml:space="preserve"> </w:t>
      </w:r>
      <w:proofErr w:type="spellStart"/>
      <w:r w:rsidR="00946198" w:rsidRPr="00AA7C3E">
        <w:rPr>
          <w:i/>
          <w:iCs/>
          <w:color w:val="003B5C"/>
          <w:sz w:val="24"/>
          <w:szCs w:val="24"/>
        </w:rPr>
        <w:t>Sequoia</w:t>
      </w:r>
      <w:proofErr w:type="spellEnd"/>
      <w:r w:rsidR="00946198" w:rsidRPr="00AA7C3E">
        <w:rPr>
          <w:i/>
          <w:iCs/>
          <w:color w:val="003B5C"/>
          <w:sz w:val="24"/>
          <w:szCs w:val="24"/>
        </w:rPr>
        <w:t xml:space="preserve"> proto řešíme budovu jako jeden celek. Každé technické rozhodnutí musí dávat smysl nejen samo o sobě, ale i ve vztahu k ostatním systémům</w:t>
      </w:r>
      <w:r w:rsidR="00946198">
        <w:rPr>
          <w:color w:val="003B5C"/>
          <w:sz w:val="24"/>
          <w:szCs w:val="24"/>
        </w:rPr>
        <w:t>,</w:t>
      </w:r>
      <w:r>
        <w:rPr>
          <w:color w:val="003B5C"/>
          <w:sz w:val="24"/>
          <w:szCs w:val="24"/>
        </w:rPr>
        <w:t>“</w:t>
      </w:r>
      <w:r w:rsidR="00946198" w:rsidRPr="00946198">
        <w:rPr>
          <w:color w:val="003B5C"/>
          <w:sz w:val="24"/>
          <w:szCs w:val="24"/>
        </w:rPr>
        <w:t xml:space="preserve"> </w:t>
      </w:r>
      <w:r w:rsidR="00946198" w:rsidRPr="00517D5B">
        <w:rPr>
          <w:color w:val="003B5C"/>
          <w:sz w:val="24"/>
          <w:szCs w:val="24"/>
        </w:rPr>
        <w:t xml:space="preserve">vysvětluje Petr </w:t>
      </w:r>
      <w:proofErr w:type="spellStart"/>
      <w:r w:rsidR="00946198" w:rsidRPr="00517D5B">
        <w:rPr>
          <w:color w:val="003B5C"/>
          <w:sz w:val="24"/>
          <w:szCs w:val="24"/>
        </w:rPr>
        <w:t>Bečán</w:t>
      </w:r>
      <w:proofErr w:type="spellEnd"/>
      <w:r w:rsidR="00946198" w:rsidRPr="00517D5B">
        <w:rPr>
          <w:color w:val="003B5C"/>
          <w:sz w:val="24"/>
          <w:szCs w:val="24"/>
        </w:rPr>
        <w:t xml:space="preserve">, Senior </w:t>
      </w:r>
      <w:proofErr w:type="spellStart"/>
      <w:r w:rsidR="00946198" w:rsidRPr="00517D5B">
        <w:rPr>
          <w:color w:val="003B5C"/>
          <w:sz w:val="24"/>
          <w:szCs w:val="24"/>
        </w:rPr>
        <w:t>Technical</w:t>
      </w:r>
      <w:proofErr w:type="spellEnd"/>
      <w:r w:rsidR="00946198" w:rsidRPr="00517D5B">
        <w:rPr>
          <w:color w:val="003B5C"/>
          <w:sz w:val="24"/>
          <w:szCs w:val="24"/>
        </w:rPr>
        <w:t xml:space="preserve"> Manager &amp; ESG společnosti </w:t>
      </w:r>
      <w:proofErr w:type="spellStart"/>
      <w:r w:rsidR="00946198" w:rsidRPr="00517D5B">
        <w:rPr>
          <w:color w:val="003B5C"/>
          <w:sz w:val="24"/>
          <w:szCs w:val="24"/>
        </w:rPr>
        <w:t>Passerinvest</w:t>
      </w:r>
      <w:proofErr w:type="spellEnd"/>
      <w:r w:rsidR="00946198" w:rsidRPr="00517D5B">
        <w:rPr>
          <w:color w:val="003B5C"/>
          <w:sz w:val="24"/>
          <w:szCs w:val="24"/>
        </w:rPr>
        <w:t xml:space="preserve"> Group.</w:t>
      </w:r>
    </w:p>
    <w:p w14:paraId="3D4087D6" w14:textId="580FBE59" w:rsidR="00C31285" w:rsidRPr="00C31285" w:rsidRDefault="00C31285" w:rsidP="00C31285">
      <w:pPr>
        <w:rPr>
          <w:b/>
          <w:bCs/>
          <w:color w:val="003B5C"/>
          <w:sz w:val="24"/>
          <w:szCs w:val="24"/>
        </w:rPr>
      </w:pPr>
      <w:r w:rsidRPr="00C31285">
        <w:rPr>
          <w:b/>
          <w:bCs/>
          <w:color w:val="003B5C"/>
          <w:sz w:val="24"/>
          <w:szCs w:val="24"/>
        </w:rPr>
        <w:t>Firmy mohou ušetřit i tím, že si pronajmou méně prostoru</w:t>
      </w:r>
    </w:p>
    <w:p w14:paraId="534E0AE9" w14:textId="77777777" w:rsidR="00EB06DD" w:rsidRPr="00EB06DD" w:rsidRDefault="00EB06DD" w:rsidP="00EB06DD">
      <w:pPr>
        <w:rPr>
          <w:color w:val="003B5C"/>
          <w:sz w:val="24"/>
          <w:szCs w:val="24"/>
        </w:rPr>
      </w:pPr>
      <w:r w:rsidRPr="00EB06DD">
        <w:rPr>
          <w:color w:val="003B5C"/>
          <w:sz w:val="24"/>
          <w:szCs w:val="24"/>
        </w:rPr>
        <w:t>Do celkových nákladů na kanceláře významně vstupuje také velikost pronajaté plochy. Firmy přitom často platí i za prostory, které využívají jen příležitostně. Typickým příkladem jsou velké zasedací nebo konferenční místnosti potřebné několikrát do měsíce. Po zbytek času mohou zůstávat prázdné, firma za ně ale stále platí nájemné, servisní poplatky a energie.</w:t>
      </w:r>
    </w:p>
    <w:p w14:paraId="67E97651" w14:textId="1FE184A6" w:rsidR="001F58DC" w:rsidRPr="001F58DC" w:rsidRDefault="001F58DC" w:rsidP="00EB06DD">
      <w:pPr>
        <w:rPr>
          <w:color w:val="003B5C"/>
          <w:sz w:val="24"/>
          <w:szCs w:val="24"/>
        </w:rPr>
      </w:pPr>
      <w:hyperlink r:id="rId12" w:anchor="pronajem" w:history="1">
        <w:r w:rsidRPr="006D47DB">
          <w:rPr>
            <w:rStyle w:val="Hypertextovodkaz"/>
            <w:sz w:val="24"/>
            <w:szCs w:val="24"/>
          </w:rPr>
          <w:t xml:space="preserve">V administrativní budově </w:t>
        </w:r>
        <w:proofErr w:type="spellStart"/>
        <w:r w:rsidRPr="006D47DB">
          <w:rPr>
            <w:rStyle w:val="Hypertextovodkaz"/>
            <w:sz w:val="24"/>
            <w:szCs w:val="24"/>
          </w:rPr>
          <w:t>Sequoia</w:t>
        </w:r>
        <w:proofErr w:type="spellEnd"/>
      </w:hyperlink>
      <w:r w:rsidRPr="001F58DC">
        <w:rPr>
          <w:color w:val="003B5C"/>
          <w:sz w:val="24"/>
          <w:szCs w:val="24"/>
        </w:rPr>
        <w:t xml:space="preserve"> proto vzniknou sdílené meetingové prostory s kapacitou až 200 lidí. Nájemci tak mohou vlastní kanceláře navrhnout podle toho, co skutečně využívají každý den, a větší prostory potřebné jen příležitostně využívat v rámci společného zázemí budovy.</w:t>
      </w:r>
    </w:p>
    <w:p w14:paraId="48C17D6A" w14:textId="0AD0C455" w:rsidR="00EB06DD" w:rsidRPr="00C31285" w:rsidRDefault="00EB06DD" w:rsidP="00C31285">
      <w:pPr>
        <w:rPr>
          <w:color w:val="003B5C"/>
          <w:sz w:val="24"/>
          <w:szCs w:val="24"/>
        </w:rPr>
      </w:pPr>
      <w:r w:rsidRPr="00EB06DD">
        <w:rPr>
          <w:i/>
          <w:iCs/>
          <w:color w:val="003B5C"/>
          <w:sz w:val="24"/>
          <w:szCs w:val="24"/>
        </w:rPr>
        <w:t>„Pokud díky sdíleným prostorům firma nepotřebuje například 150 nebo 200 m² vlastní konferenční kapacity, nešetří pouze na nájemném. Nemusí tuto plochu ani vybudovat, vybavit, chladit, uklízet a následně dlouhodobě provozovat. Při hodnocení efektivity kanceláří proto není důležité jen to, kolik stojí jeden metr, ale také kolik metrů firma skutečně potřebuje. Velká zasedací místnost využívaná jednou týdně totiž stojí peníze i po zbytek času, kdy zůstává prázdná. Pokud lze takovou funkci sdílet v rámci celé budovy, může firma část těchto nákladů jednoduše ušetřit,“</w:t>
      </w:r>
      <w:r w:rsidRPr="00EB06DD">
        <w:rPr>
          <w:color w:val="003B5C"/>
          <w:sz w:val="24"/>
          <w:szCs w:val="24"/>
        </w:rPr>
        <w:t xml:space="preserve"> říká Eduard Forejt.</w:t>
      </w:r>
    </w:p>
    <w:p w14:paraId="0D65CF13" w14:textId="77777777" w:rsidR="009C698D" w:rsidRDefault="009C698D" w:rsidP="00EB06DD">
      <w:pPr>
        <w:rPr>
          <w:b/>
          <w:bCs/>
          <w:color w:val="003B5C"/>
          <w:sz w:val="24"/>
          <w:szCs w:val="24"/>
        </w:rPr>
      </w:pPr>
      <w:r w:rsidRPr="009C698D">
        <w:rPr>
          <w:b/>
          <w:bCs/>
          <w:color w:val="003B5C"/>
          <w:sz w:val="24"/>
          <w:szCs w:val="24"/>
        </w:rPr>
        <w:t>Firmy mohou od stěhování odradit náklady na úpravu a vybavení kanceláří</w:t>
      </w:r>
    </w:p>
    <w:p w14:paraId="60D58E2A" w14:textId="468F003B" w:rsidR="009C698D" w:rsidRPr="00EB06DD" w:rsidRDefault="009C698D" w:rsidP="00EB06DD">
      <w:pPr>
        <w:rPr>
          <w:color w:val="003B5C"/>
          <w:sz w:val="24"/>
          <w:szCs w:val="24"/>
        </w:rPr>
      </w:pPr>
      <w:r w:rsidRPr="009C698D">
        <w:rPr>
          <w:color w:val="003B5C"/>
          <w:sz w:val="24"/>
          <w:szCs w:val="24"/>
        </w:rPr>
        <w:t xml:space="preserve">Při porovnávání nové a stávající kanceláře je potřeba počítat také s náklady, které mohou naopak hovořit ve prospěch setrvání na současné adrese. Jednou z největších položek je vybudování a úprava nových kancelářských prostor podle potřeb konkrétní firmy. U větších společností se podle </w:t>
      </w:r>
      <w:proofErr w:type="spellStart"/>
      <w:r w:rsidRPr="009C698D">
        <w:rPr>
          <w:color w:val="003B5C"/>
          <w:sz w:val="24"/>
          <w:szCs w:val="24"/>
        </w:rPr>
        <w:t>Passerinvest</w:t>
      </w:r>
      <w:proofErr w:type="spellEnd"/>
      <w:r w:rsidRPr="009C698D">
        <w:rPr>
          <w:color w:val="003B5C"/>
          <w:sz w:val="24"/>
          <w:szCs w:val="24"/>
        </w:rPr>
        <w:t xml:space="preserve"> Group může tato investice pohybovat v desítkách, někdy i stovkách milionů korun. Další výdaje pak přináší samotné stěhování</w:t>
      </w:r>
      <w:r w:rsidR="00773D10">
        <w:rPr>
          <w:color w:val="003B5C"/>
          <w:sz w:val="24"/>
          <w:szCs w:val="24"/>
        </w:rPr>
        <w:t>, nábytek, AV</w:t>
      </w:r>
      <w:r w:rsidRPr="009C698D">
        <w:rPr>
          <w:color w:val="003B5C"/>
          <w:sz w:val="24"/>
          <w:szCs w:val="24"/>
        </w:rPr>
        <w:t xml:space="preserve"> nebo zajištění technického a IT zázemí v nových prostorách.</w:t>
      </w:r>
    </w:p>
    <w:p w14:paraId="1ECCE1E7" w14:textId="77777777" w:rsidR="00EB06DD" w:rsidRPr="00EB06DD" w:rsidRDefault="00EB06DD" w:rsidP="00EB06DD">
      <w:pPr>
        <w:rPr>
          <w:color w:val="003B5C"/>
          <w:sz w:val="24"/>
          <w:szCs w:val="24"/>
        </w:rPr>
      </w:pPr>
      <w:r w:rsidRPr="00EB06DD">
        <w:rPr>
          <w:color w:val="003B5C"/>
          <w:sz w:val="24"/>
          <w:szCs w:val="24"/>
        </w:rPr>
        <w:t xml:space="preserve">Právě vysoká počáteční investice může být jedním z hlavních důvodů, proč se firma rozhodne ve stávajících prostorách zůstat. U nových projektů ale může s touto překážkou pomoci pronajímatel. </w:t>
      </w:r>
      <w:r w:rsidRPr="00EB06DD">
        <w:rPr>
          <w:color w:val="003B5C"/>
          <w:sz w:val="24"/>
          <w:szCs w:val="24"/>
        </w:rPr>
        <w:lastRenderedPageBreak/>
        <w:t>Vedle standardních pobídek, například období bez placení nájemného, může přispět přímo na vybudování a úpravu nových kanceláří nebo při dlouhodobém nájemním vztahu financovat významnou část této investice.</w:t>
      </w:r>
    </w:p>
    <w:p w14:paraId="4345189E" w14:textId="5F71A6E9" w:rsidR="00147D27" w:rsidRDefault="009C698D" w:rsidP="00EB06DD">
      <w:pPr>
        <w:rPr>
          <w:color w:val="003B5C"/>
          <w:sz w:val="24"/>
          <w:szCs w:val="24"/>
        </w:rPr>
      </w:pPr>
      <w:r w:rsidRPr="009C698D">
        <w:rPr>
          <w:color w:val="003B5C"/>
          <w:sz w:val="24"/>
          <w:szCs w:val="24"/>
        </w:rPr>
        <w:t xml:space="preserve">S takovým modelem pracuje </w:t>
      </w:r>
      <w:proofErr w:type="spellStart"/>
      <w:r w:rsidRPr="009C698D">
        <w:rPr>
          <w:color w:val="003B5C"/>
          <w:sz w:val="24"/>
          <w:szCs w:val="24"/>
        </w:rPr>
        <w:t>Passerinvest</w:t>
      </w:r>
      <w:proofErr w:type="spellEnd"/>
      <w:r w:rsidRPr="009C698D">
        <w:rPr>
          <w:color w:val="003B5C"/>
          <w:sz w:val="24"/>
          <w:szCs w:val="24"/>
        </w:rPr>
        <w:t xml:space="preserve"> Group také u projektu </w:t>
      </w:r>
      <w:proofErr w:type="spellStart"/>
      <w:r w:rsidRPr="009C698D">
        <w:rPr>
          <w:color w:val="003B5C"/>
          <w:sz w:val="24"/>
          <w:szCs w:val="24"/>
        </w:rPr>
        <w:t>Sequoia</w:t>
      </w:r>
      <w:proofErr w:type="spellEnd"/>
      <w:r w:rsidRPr="009C698D">
        <w:rPr>
          <w:color w:val="003B5C"/>
          <w:sz w:val="24"/>
          <w:szCs w:val="24"/>
        </w:rPr>
        <w:t>. V závislosti na délce nájemní smlouvy a výši nájemného může pronajímatel převzít část nákladů na vybudování a úpravu kanceláří a část rozložit do nájemného. Firma tak nemusí celou vysokou investici hradit hned na začátku. V některých případech může pronajímatel počáteční náklady na vybudování kanceláří pokrýt i v plné výši.</w:t>
      </w:r>
      <w:r w:rsidR="00773D10">
        <w:rPr>
          <w:color w:val="003B5C"/>
          <w:sz w:val="24"/>
          <w:szCs w:val="24"/>
        </w:rPr>
        <w:t xml:space="preserve"> </w:t>
      </w:r>
      <w:r w:rsidR="00147D27" w:rsidRPr="00147D27">
        <w:rPr>
          <w:color w:val="003B5C"/>
          <w:sz w:val="24"/>
          <w:szCs w:val="24"/>
        </w:rPr>
        <w:t>Kombinace pobídek na vybudování kanceláří a období bez placení nájemného tak může výrazně snížit celkové náklady spojené se stěhováním.</w:t>
      </w:r>
    </w:p>
    <w:p w14:paraId="5476A5E4" w14:textId="404101AC" w:rsidR="00EB06DD" w:rsidRPr="00EB06DD" w:rsidRDefault="00EB06DD" w:rsidP="00EB06DD">
      <w:pPr>
        <w:rPr>
          <w:color w:val="003B5C"/>
          <w:sz w:val="24"/>
          <w:szCs w:val="24"/>
        </w:rPr>
      </w:pPr>
      <w:r w:rsidRPr="009C698D">
        <w:rPr>
          <w:i/>
          <w:iCs/>
          <w:color w:val="003B5C"/>
          <w:sz w:val="24"/>
          <w:szCs w:val="24"/>
        </w:rPr>
        <w:t xml:space="preserve">„Samozřejmě to neznamená, že vyšší nájemné je automaticky výhodnější. Znamená to, že vyšší nájemné může být součástí levnějšího řešení. Pro finančního ředitele totiž není totéž vydat dnes například </w:t>
      </w:r>
      <w:r w:rsidR="00773D10">
        <w:rPr>
          <w:i/>
          <w:iCs/>
          <w:color w:val="003B5C"/>
          <w:sz w:val="24"/>
          <w:szCs w:val="24"/>
        </w:rPr>
        <w:t>padesát</w:t>
      </w:r>
      <w:r w:rsidRPr="009C698D">
        <w:rPr>
          <w:i/>
          <w:iCs/>
          <w:color w:val="003B5C"/>
          <w:sz w:val="24"/>
          <w:szCs w:val="24"/>
        </w:rPr>
        <w:t xml:space="preserve"> milionů korun na nové kanceláře, nebo stejnou investici rozložit prostřednictvím vlastníka budovy do desetiletého nájemního vztahu. Zvlášť pokud současně přechází do budovy, která má po celou dobu generovat nižší účty za provoz a energie,“</w:t>
      </w:r>
      <w:r w:rsidRPr="00EB06DD">
        <w:rPr>
          <w:color w:val="003B5C"/>
          <w:sz w:val="24"/>
          <w:szCs w:val="24"/>
        </w:rPr>
        <w:t xml:space="preserve"> říká Eduard Forejt.</w:t>
      </w:r>
    </w:p>
    <w:p w14:paraId="4F67969A" w14:textId="3661B9D3" w:rsidR="008E5D29" w:rsidRPr="00167042" w:rsidRDefault="009C698D" w:rsidP="00BC77C0">
      <w:pPr>
        <w:rPr>
          <w:color w:val="003B5C"/>
          <w:sz w:val="24"/>
          <w:szCs w:val="24"/>
        </w:rPr>
      </w:pPr>
      <w:r w:rsidRPr="009C698D">
        <w:rPr>
          <w:color w:val="003B5C"/>
          <w:sz w:val="24"/>
          <w:szCs w:val="24"/>
        </w:rPr>
        <w:t xml:space="preserve">Podle společnosti </w:t>
      </w:r>
      <w:proofErr w:type="spellStart"/>
      <w:r w:rsidRPr="009C698D">
        <w:rPr>
          <w:color w:val="003B5C"/>
          <w:sz w:val="24"/>
          <w:szCs w:val="24"/>
        </w:rPr>
        <w:t>Passerinvest</w:t>
      </w:r>
      <w:proofErr w:type="spellEnd"/>
      <w:r w:rsidRPr="009C698D">
        <w:rPr>
          <w:color w:val="003B5C"/>
          <w:sz w:val="24"/>
          <w:szCs w:val="24"/>
        </w:rPr>
        <w:t xml:space="preserve"> Group proto nelze jednoduše říci, že nová kancelářská budova je vždy výhodnější než starší. Stejně tak ale nižší nájemné automaticky neznamená levnější kancelář. Při porovnávání jednotlivých nabídek je potřeba dívat se na náklady v celé jejich šíři – od nájemného a pravidelných výdajů na provoz přes velikost pronajaté plochy až po počáteční investici spojenou se stěhováním a úpravou nových prostor. Rozhodující je, kolik firma za kanceláře skutečně zaplatí za celou dobu nájmu. </w:t>
      </w:r>
      <w:r w:rsidR="00773D10">
        <w:rPr>
          <w:color w:val="003B5C"/>
          <w:sz w:val="24"/>
          <w:szCs w:val="24"/>
        </w:rPr>
        <w:t>O tom, že je taková nová budova komfortnější</w:t>
      </w:r>
      <w:r w:rsidR="000364AE">
        <w:rPr>
          <w:color w:val="003B5C"/>
          <w:sz w:val="24"/>
          <w:szCs w:val="24"/>
        </w:rPr>
        <w:t>m</w:t>
      </w:r>
      <w:r w:rsidR="00773D10">
        <w:rPr>
          <w:color w:val="003B5C"/>
          <w:sz w:val="24"/>
          <w:szCs w:val="24"/>
        </w:rPr>
        <w:t>, kvalitnější</w:t>
      </w:r>
      <w:r w:rsidR="000364AE">
        <w:rPr>
          <w:color w:val="003B5C"/>
          <w:sz w:val="24"/>
          <w:szCs w:val="24"/>
        </w:rPr>
        <w:t>m</w:t>
      </w:r>
      <w:r w:rsidR="00773D10">
        <w:rPr>
          <w:color w:val="003B5C"/>
          <w:sz w:val="24"/>
          <w:szCs w:val="24"/>
        </w:rPr>
        <w:t xml:space="preserve"> i udržitelnější</w:t>
      </w:r>
      <w:r w:rsidR="000364AE">
        <w:rPr>
          <w:color w:val="003B5C"/>
          <w:sz w:val="24"/>
          <w:szCs w:val="24"/>
        </w:rPr>
        <w:t>m</w:t>
      </w:r>
      <w:r w:rsidR="00773D10">
        <w:rPr>
          <w:color w:val="003B5C"/>
          <w:sz w:val="24"/>
          <w:szCs w:val="24"/>
        </w:rPr>
        <w:t xml:space="preserve"> řešení</w:t>
      </w:r>
      <w:r w:rsidR="000364AE">
        <w:rPr>
          <w:color w:val="003B5C"/>
          <w:sz w:val="24"/>
          <w:szCs w:val="24"/>
        </w:rPr>
        <w:t>m</w:t>
      </w:r>
      <w:r w:rsidR="008A52D3">
        <w:rPr>
          <w:color w:val="003B5C"/>
          <w:sz w:val="24"/>
          <w:szCs w:val="24"/>
        </w:rPr>
        <w:t>,</w:t>
      </w:r>
      <w:r w:rsidR="00773D10">
        <w:rPr>
          <w:color w:val="003B5C"/>
          <w:sz w:val="24"/>
          <w:szCs w:val="24"/>
        </w:rPr>
        <w:t xml:space="preserve"> není pochyb, ale t</w:t>
      </w:r>
      <w:r w:rsidRPr="009C698D">
        <w:rPr>
          <w:color w:val="003B5C"/>
          <w:sz w:val="24"/>
          <w:szCs w:val="24"/>
        </w:rPr>
        <w:t xml:space="preserve">eprve tento pohled ukáže, která varianta je pro </w:t>
      </w:r>
      <w:r w:rsidR="00773D10">
        <w:rPr>
          <w:color w:val="003B5C"/>
          <w:sz w:val="24"/>
          <w:szCs w:val="24"/>
        </w:rPr>
        <w:t>danou firmu</w:t>
      </w:r>
      <w:r w:rsidRPr="009C698D">
        <w:rPr>
          <w:color w:val="003B5C"/>
          <w:sz w:val="24"/>
          <w:szCs w:val="24"/>
        </w:rPr>
        <w:t xml:space="preserve"> ve výsledku ekonomicky výhodnější.</w:t>
      </w:r>
    </w:p>
    <w:p w14:paraId="3ABEAFEF" w14:textId="78F77A94" w:rsidR="00F5265F" w:rsidRDefault="005421C0">
      <w:pPr>
        <w:spacing w:after="0" w:line="324" w:lineRule="auto"/>
        <w:jc w:val="left"/>
      </w:pPr>
      <w:r>
        <w:rPr>
          <w:color w:val="003B5C"/>
          <w:sz w:val="24"/>
          <w:szCs w:val="24"/>
          <w:u w:val="single"/>
        </w:rPr>
        <w:t>Více informací a fotografie v tiskové kvalitě Vám poskytne:</w:t>
      </w:r>
      <w:r>
        <w:br/>
      </w:r>
      <w:r>
        <w:rPr>
          <w:color w:val="003B5C"/>
          <w:sz w:val="24"/>
          <w:szCs w:val="24"/>
        </w:rPr>
        <w:t>Kristýna Samková</w:t>
      </w:r>
      <w:r>
        <w:rPr>
          <w:b/>
          <w:bCs/>
          <w:color w:val="003B5C"/>
          <w:sz w:val="24"/>
          <w:szCs w:val="24"/>
        </w:rPr>
        <w:t xml:space="preserve">, </w:t>
      </w:r>
      <w:proofErr w:type="spellStart"/>
      <w:r>
        <w:rPr>
          <w:color w:val="003B5C"/>
          <w:sz w:val="24"/>
          <w:szCs w:val="24"/>
        </w:rPr>
        <w:t>He</w:t>
      </w:r>
      <w:r w:rsidR="000E0802">
        <w:rPr>
          <w:color w:val="003B5C"/>
          <w:sz w:val="24"/>
          <w:szCs w:val="24"/>
        </w:rPr>
        <w:t>a</w:t>
      </w:r>
      <w:r>
        <w:rPr>
          <w:color w:val="003B5C"/>
          <w:sz w:val="24"/>
          <w:szCs w:val="24"/>
        </w:rPr>
        <w:t>d</w:t>
      </w:r>
      <w:proofErr w:type="spellEnd"/>
      <w:r>
        <w:rPr>
          <w:color w:val="003B5C"/>
          <w:sz w:val="24"/>
          <w:szCs w:val="24"/>
        </w:rPr>
        <w:t xml:space="preserve"> </w:t>
      </w:r>
      <w:proofErr w:type="spellStart"/>
      <w:r>
        <w:rPr>
          <w:color w:val="003B5C"/>
          <w:sz w:val="24"/>
          <w:szCs w:val="24"/>
        </w:rPr>
        <w:t>of</w:t>
      </w:r>
      <w:proofErr w:type="spellEnd"/>
      <w:r>
        <w:rPr>
          <w:color w:val="003B5C"/>
          <w:sz w:val="24"/>
          <w:szCs w:val="24"/>
        </w:rPr>
        <w:t xml:space="preserve"> PR and Marketing </w:t>
      </w:r>
      <w:proofErr w:type="spellStart"/>
      <w:r>
        <w:rPr>
          <w:color w:val="003B5C"/>
          <w:sz w:val="24"/>
          <w:szCs w:val="24"/>
        </w:rPr>
        <w:t>dept</w:t>
      </w:r>
      <w:proofErr w:type="spellEnd"/>
      <w:r>
        <w:rPr>
          <w:color w:val="003B5C"/>
          <w:sz w:val="24"/>
          <w:szCs w:val="24"/>
        </w:rPr>
        <w:t>.</w:t>
      </w:r>
      <w:r>
        <w:br/>
      </w:r>
      <w:r>
        <w:rPr>
          <w:b/>
          <w:bCs/>
          <w:color w:val="003B5C"/>
          <w:sz w:val="24"/>
          <w:szCs w:val="24"/>
        </w:rPr>
        <w:t>PASSERINVEST GROUP, a.s.</w:t>
      </w:r>
      <w:r>
        <w:br/>
      </w:r>
      <w:r>
        <w:rPr>
          <w:color w:val="003B5C"/>
          <w:sz w:val="24"/>
          <w:szCs w:val="24"/>
        </w:rPr>
        <w:t>Tel.: (+420) 221 582 111</w:t>
      </w:r>
      <w:r>
        <w:br/>
      </w:r>
      <w:r>
        <w:rPr>
          <w:color w:val="003B5C"/>
          <w:sz w:val="24"/>
          <w:szCs w:val="24"/>
        </w:rPr>
        <w:t xml:space="preserve">E-mail: </w:t>
      </w:r>
      <w:hyperlink r:id="rId13" w:history="1">
        <w:r w:rsidR="00F5265F">
          <w:rPr>
            <w:rStyle w:val="Hypertextovodkaz"/>
            <w:sz w:val="24"/>
            <w:szCs w:val="24"/>
          </w:rPr>
          <w:t>Kristyna.Samkova@Passerinvest.cz</w:t>
        </w:r>
      </w:hyperlink>
      <w:r>
        <w:br/>
      </w:r>
      <w:r>
        <w:rPr>
          <w:color w:val="003B5C"/>
          <w:sz w:val="24"/>
          <w:szCs w:val="24"/>
        </w:rPr>
        <w:t xml:space="preserve">www.passerinvest.cz, </w:t>
      </w:r>
      <w:hyperlink r:id="rId14" w:history="1">
        <w:r w:rsidR="00F5265F">
          <w:rPr>
            <w:rStyle w:val="Hypertextovodkaz"/>
            <w:sz w:val="24"/>
            <w:szCs w:val="24"/>
          </w:rPr>
          <w:t>www.brumlovka.cz</w:t>
        </w:r>
      </w:hyperlink>
    </w:p>
    <w:p w14:paraId="4070284F" w14:textId="77777777" w:rsidR="00F5265F" w:rsidRDefault="00F5265F">
      <w:pPr>
        <w:spacing w:after="0" w:line="324" w:lineRule="auto"/>
        <w:jc w:val="left"/>
        <w:rPr>
          <w:rFonts w:cs="Calibri"/>
          <w:color w:val="003B5C"/>
          <w:sz w:val="24"/>
          <w:szCs w:val="24"/>
        </w:rPr>
      </w:pPr>
    </w:p>
    <w:p w14:paraId="29C7394A" w14:textId="77777777" w:rsidR="00F5265F" w:rsidRDefault="005421C0">
      <w:pPr>
        <w:spacing w:after="0" w:line="324" w:lineRule="auto"/>
        <w:jc w:val="left"/>
      </w:pPr>
      <w:r>
        <w:rPr>
          <w:color w:val="003B5C"/>
          <w:sz w:val="24"/>
          <w:szCs w:val="24"/>
        </w:rPr>
        <w:lastRenderedPageBreak/>
        <w:t>Kamila Žitňáková</w:t>
      </w:r>
      <w:r>
        <w:br/>
      </w:r>
      <w:proofErr w:type="spellStart"/>
      <w:r>
        <w:rPr>
          <w:b/>
          <w:bCs/>
          <w:color w:val="003B5C"/>
          <w:sz w:val="24"/>
          <w:szCs w:val="24"/>
        </w:rPr>
        <w:t>Crest</w:t>
      </w:r>
      <w:proofErr w:type="spellEnd"/>
      <w:r>
        <w:rPr>
          <w:b/>
          <w:bCs/>
          <w:color w:val="003B5C"/>
          <w:sz w:val="24"/>
          <w:szCs w:val="24"/>
        </w:rPr>
        <w:t xml:space="preserve"> Communications a.s.</w:t>
      </w:r>
      <w:r>
        <w:br/>
      </w:r>
      <w:r>
        <w:rPr>
          <w:color w:val="003B5C"/>
          <w:sz w:val="24"/>
          <w:szCs w:val="24"/>
        </w:rPr>
        <w:t>Mobil: (+420) 725 544 106</w:t>
      </w:r>
      <w:r>
        <w:br/>
      </w:r>
      <w:r>
        <w:rPr>
          <w:color w:val="003B5C"/>
          <w:sz w:val="24"/>
          <w:szCs w:val="24"/>
        </w:rPr>
        <w:t xml:space="preserve">E-mail: </w:t>
      </w:r>
      <w:hyperlink r:id="rId15" w:history="1">
        <w:r w:rsidR="00F5265F">
          <w:rPr>
            <w:rStyle w:val="Hypertextovodkaz"/>
            <w:sz w:val="24"/>
            <w:szCs w:val="24"/>
          </w:rPr>
          <w:t>kamila.zitnakova@crestcom.cz</w:t>
        </w:r>
      </w:hyperlink>
    </w:p>
    <w:p w14:paraId="42EBDEE5" w14:textId="77777777" w:rsidR="00090578" w:rsidRDefault="005421C0">
      <w:pPr>
        <w:spacing w:after="0"/>
        <w:pPrChange w:id="0" w:author="Kamila Žitňáková | CrestCommunications a.s." w:date="2026-08-19T10:35:00Z" w16du:dateUtc="2026-08-19T08:35:00Z">
          <w:pPr>
            <w:spacing w:after="0" w:line="324" w:lineRule="auto"/>
          </w:pPr>
        </w:pPrChange>
      </w:pPr>
      <w:r>
        <w:rPr>
          <w:rFonts w:cs="Calibri"/>
          <w:b/>
          <w:bCs/>
          <w:color w:val="003B5C"/>
          <w:sz w:val="24"/>
          <w:szCs w:val="24"/>
        </w:rPr>
        <w:br/>
      </w:r>
      <w:r w:rsidR="00090578">
        <w:rPr>
          <w:rFonts w:cs="Calibri"/>
          <w:b/>
          <w:bCs/>
          <w:color w:val="003B5C"/>
          <w:sz w:val="24"/>
          <w:szCs w:val="24"/>
        </w:rPr>
        <w:t>O společnosti:</w:t>
      </w:r>
    </w:p>
    <w:p w14:paraId="7DF64852" w14:textId="6E0B33DA" w:rsidR="00F5265F" w:rsidRDefault="00090578">
      <w:pPr>
        <w:spacing w:after="0"/>
        <w:rPr>
          <w:rFonts w:cs="Calibri"/>
          <w:color w:val="003B5C"/>
          <w:sz w:val="22"/>
          <w:szCs w:val="22"/>
        </w:rPr>
        <w:pPrChange w:id="1" w:author="Kamila Žitňáková | CrestCommunications a.s." w:date="2026-08-19T10:35:00Z" w16du:dateUtc="2026-08-19T08:35:00Z">
          <w:pPr>
            <w:spacing w:after="0" w:line="324" w:lineRule="auto"/>
          </w:pPr>
        </w:pPrChange>
      </w:pPr>
      <w:r>
        <w:fldChar w:fldCharType="begin"/>
      </w:r>
      <w:r>
        <w:instrText>HYPERLINK "https://www.passerinvest.cz/"</w:instrText>
      </w:r>
      <w:r>
        <w:fldChar w:fldCharType="separate"/>
      </w:r>
      <w:proofErr w:type="spellStart"/>
      <w:r w:rsidRPr="002C2EEE">
        <w:rPr>
          <w:rStyle w:val="Hypertextovodkaz"/>
          <w:rFonts w:cstheme="minorHAnsi"/>
          <w:sz w:val="24"/>
          <w:szCs w:val="24"/>
        </w:rPr>
        <w:t>Passerinvest</w:t>
      </w:r>
      <w:proofErr w:type="spellEnd"/>
      <w:r w:rsidRPr="002C2EEE">
        <w:rPr>
          <w:rStyle w:val="Hypertextovodkaz"/>
          <w:rFonts w:cstheme="minorHAnsi"/>
          <w:sz w:val="24"/>
          <w:szCs w:val="24"/>
        </w:rPr>
        <w:t xml:space="preserve"> Group</w:t>
      </w:r>
      <w:r>
        <w:fldChar w:fldCharType="end"/>
      </w:r>
      <w:r w:rsidRPr="002C2EEE">
        <w:rPr>
          <w:rFonts w:cstheme="minorHAnsi"/>
          <w:color w:val="003B5C"/>
          <w:sz w:val="24"/>
          <w:szCs w:val="24"/>
        </w:rPr>
        <w:t xml:space="preserve"> </w:t>
      </w:r>
      <w:r w:rsidRPr="009D64F8">
        <w:rPr>
          <w:color w:val="003B5C"/>
          <w:sz w:val="24"/>
          <w:szCs w:val="24"/>
        </w:rPr>
        <w:t xml:space="preserve">(dále </w:t>
      </w:r>
      <w:proofErr w:type="spellStart"/>
      <w:r w:rsidRPr="009D64F8">
        <w:rPr>
          <w:color w:val="003B5C"/>
          <w:sz w:val="24"/>
          <w:szCs w:val="24"/>
        </w:rPr>
        <w:t>Passerinvest</w:t>
      </w:r>
      <w:proofErr w:type="spellEnd"/>
      <w:r w:rsidRPr="009D64F8">
        <w:rPr>
          <w:color w:val="003B5C"/>
          <w:sz w:val="24"/>
          <w:szCs w:val="24"/>
        </w:rPr>
        <w:t xml:space="preserve">) je ryze český stavitel a investor. Společnost byla založena Radimem Passerem již v roce 1991 a od té doby získala řadu zkušeností s výstavbou administrativních a komerčních budov, rezidenčních objektů i občanské vybavenosti. </w:t>
      </w:r>
      <w:proofErr w:type="spellStart"/>
      <w:r w:rsidRPr="009D64F8">
        <w:rPr>
          <w:color w:val="003B5C"/>
          <w:sz w:val="24"/>
          <w:szCs w:val="24"/>
        </w:rPr>
        <w:t>Passerinvest</w:t>
      </w:r>
      <w:proofErr w:type="spellEnd"/>
      <w:r w:rsidRPr="009D64F8">
        <w:rPr>
          <w:color w:val="003B5C"/>
          <w:sz w:val="24"/>
          <w:szCs w:val="24"/>
        </w:rPr>
        <w:t xml:space="preserve"> je jako odpovědný urbanistický developer od roku 1998 spojován převážně s </w:t>
      </w:r>
      <w:r>
        <w:fldChar w:fldCharType="begin"/>
      </w:r>
      <w:r>
        <w:instrText>HYPERLINK "http://www.brumlovka.cz"</w:instrText>
      </w:r>
      <w:r>
        <w:fldChar w:fldCharType="separate"/>
      </w:r>
      <w:r w:rsidRPr="00845C3A">
        <w:rPr>
          <w:rStyle w:val="Hypertextovodkaz"/>
          <w:rFonts w:cstheme="minorHAnsi"/>
          <w:sz w:val="24"/>
          <w:szCs w:val="24"/>
        </w:rPr>
        <w:t>Brumlovkou</w:t>
      </w:r>
      <w:r>
        <w:fldChar w:fldCharType="end"/>
      </w:r>
      <w:r w:rsidRPr="009D64F8">
        <w:rPr>
          <w:color w:val="003B5C"/>
          <w:sz w:val="24"/>
          <w:szCs w:val="24"/>
        </w:rPr>
        <w:t xml:space="preserve"> v Praze 4, která je jedním z největších a nejúspěšnějších urbanistických projektů nejen v České republice, ale </w:t>
      </w:r>
      <w:r>
        <w:rPr>
          <w:color w:val="003B5C"/>
          <w:sz w:val="24"/>
          <w:szCs w:val="24"/>
        </w:rPr>
        <w:t xml:space="preserve">i </w:t>
      </w:r>
      <w:r w:rsidRPr="009D64F8">
        <w:rPr>
          <w:color w:val="003B5C"/>
          <w:sz w:val="24"/>
          <w:szCs w:val="24"/>
        </w:rPr>
        <w:t>v celé Evropě</w:t>
      </w:r>
      <w:r>
        <w:rPr>
          <w:color w:val="003B5C"/>
          <w:sz w:val="24"/>
          <w:szCs w:val="24"/>
        </w:rPr>
        <w:t xml:space="preserve">. </w:t>
      </w:r>
      <w:r w:rsidRPr="00713D01">
        <w:rPr>
          <w:color w:val="003B5C"/>
          <w:sz w:val="24"/>
          <w:szCs w:val="24"/>
        </w:rPr>
        <w:t xml:space="preserve">V roce 2025 získala Brumlovka jako jediná lokalita svého druhu prestižní certifikaci </w:t>
      </w:r>
      <w:r>
        <w:fldChar w:fldCharType="begin"/>
      </w:r>
      <w:r>
        <w:instrText>HYPERLINK "https://brumlovka.cz/aktuality/lokalita-brumlovka-je-jedina-sveho-druhu-ziskala-certifikaci-fitwel-s-nejvyssim-ohodnocenim-tri-hvezd-jako-prvni-v-eu"</w:instrText>
      </w:r>
      <w:r>
        <w:fldChar w:fldCharType="separate"/>
      </w:r>
      <w:proofErr w:type="spellStart"/>
      <w:r w:rsidRPr="00713D01">
        <w:rPr>
          <w:rStyle w:val="Hypertextovodkaz"/>
          <w:sz w:val="24"/>
          <w:szCs w:val="24"/>
        </w:rPr>
        <w:t>Fitwel</w:t>
      </w:r>
      <w:proofErr w:type="spellEnd"/>
      <w:r w:rsidRPr="00713D01">
        <w:rPr>
          <w:rStyle w:val="Hypertextovodkaz"/>
          <w:sz w:val="24"/>
          <w:szCs w:val="24"/>
        </w:rPr>
        <w:t xml:space="preserve"> s nejvyšším hodnocením tří hvězd, a to jako první a jediná v rámci EU</w:t>
      </w:r>
      <w:r>
        <w:fldChar w:fldCharType="end"/>
      </w:r>
      <w:r w:rsidRPr="00713D01">
        <w:rPr>
          <w:color w:val="003B5C"/>
          <w:sz w:val="24"/>
          <w:szCs w:val="24"/>
        </w:rPr>
        <w:t>.</w:t>
      </w:r>
      <w:r>
        <w:rPr>
          <w:color w:val="003B5C"/>
          <w:sz w:val="24"/>
          <w:szCs w:val="24"/>
        </w:rPr>
        <w:t xml:space="preserve">  </w:t>
      </w:r>
      <w:r w:rsidRPr="00DF103B">
        <w:rPr>
          <w:color w:val="003B5C"/>
          <w:sz w:val="24"/>
          <w:szCs w:val="24"/>
        </w:rPr>
        <w:t xml:space="preserve">Vedle Brumlovky rozvíjí </w:t>
      </w:r>
      <w:proofErr w:type="spellStart"/>
      <w:r w:rsidRPr="00DF103B">
        <w:rPr>
          <w:color w:val="003B5C"/>
          <w:sz w:val="24"/>
          <w:szCs w:val="24"/>
        </w:rPr>
        <w:t>Passerinvest</w:t>
      </w:r>
      <w:proofErr w:type="spellEnd"/>
      <w:r w:rsidRPr="00DF103B">
        <w:rPr>
          <w:color w:val="003B5C"/>
          <w:sz w:val="24"/>
          <w:szCs w:val="24"/>
        </w:rPr>
        <w:t xml:space="preserve"> také lokalitu</w:t>
      </w:r>
      <w:r>
        <w:rPr>
          <w:color w:val="003B5C"/>
          <w:sz w:val="24"/>
          <w:szCs w:val="24"/>
        </w:rPr>
        <w:t xml:space="preserve"> </w:t>
      </w:r>
      <w:r>
        <w:fldChar w:fldCharType="begin"/>
      </w:r>
      <w:r>
        <w:instrText>HYPERLINK "http://www.krcakzije.cz"</w:instrText>
      </w:r>
      <w:r>
        <w:fldChar w:fldCharType="separate"/>
      </w:r>
      <w:r w:rsidRPr="00B918A8">
        <w:rPr>
          <w:rStyle w:val="Hypertextovodkaz"/>
          <w:rFonts w:cstheme="minorHAnsi"/>
          <w:sz w:val="24"/>
          <w:szCs w:val="24"/>
        </w:rPr>
        <w:t>Nové Roztyly</w:t>
      </w:r>
      <w:r>
        <w:fldChar w:fldCharType="end"/>
      </w:r>
      <w:r w:rsidRPr="00DF103B">
        <w:rPr>
          <w:color w:val="003B5C"/>
          <w:sz w:val="24"/>
          <w:szCs w:val="24"/>
        </w:rPr>
        <w:t xml:space="preserve">. </w:t>
      </w:r>
      <w:r w:rsidRPr="00967FF6">
        <w:rPr>
          <w:color w:val="003B5C"/>
          <w:sz w:val="24"/>
          <w:szCs w:val="24"/>
        </w:rPr>
        <w:t xml:space="preserve">Její součástí je již dokončená administrativní budova Roztyly Plaza a připravovaná administrativní budova </w:t>
      </w:r>
      <w:proofErr w:type="spellStart"/>
      <w:r w:rsidRPr="00967FF6">
        <w:rPr>
          <w:color w:val="003B5C"/>
          <w:sz w:val="24"/>
          <w:szCs w:val="24"/>
        </w:rPr>
        <w:t>Sequoia</w:t>
      </w:r>
      <w:proofErr w:type="spellEnd"/>
      <w:r w:rsidRPr="00967FF6">
        <w:rPr>
          <w:color w:val="003B5C"/>
          <w:sz w:val="24"/>
          <w:szCs w:val="24"/>
        </w:rPr>
        <w:t xml:space="preserve">, která </w:t>
      </w:r>
      <w:r>
        <w:rPr>
          <w:color w:val="003B5C"/>
          <w:sz w:val="24"/>
          <w:szCs w:val="24"/>
        </w:rPr>
        <w:t>je součástí postupné</w:t>
      </w:r>
      <w:r w:rsidRPr="00967FF6">
        <w:rPr>
          <w:color w:val="003B5C"/>
          <w:sz w:val="24"/>
          <w:szCs w:val="24"/>
        </w:rPr>
        <w:t xml:space="preserve"> transformac</w:t>
      </w:r>
      <w:r>
        <w:rPr>
          <w:color w:val="003B5C"/>
          <w:sz w:val="24"/>
          <w:szCs w:val="24"/>
        </w:rPr>
        <w:t>e</w:t>
      </w:r>
      <w:r w:rsidRPr="00967FF6">
        <w:rPr>
          <w:color w:val="003B5C"/>
          <w:sz w:val="24"/>
          <w:szCs w:val="24"/>
        </w:rPr>
        <w:t xml:space="preserve"> území v moderní městskou čtvrť propojující kanceláře, budoucí bydlení, služby, veřejná prostranství i rozsáhlou zeleň.</w:t>
      </w:r>
      <w:r>
        <w:rPr>
          <w:color w:val="003B5C"/>
          <w:sz w:val="24"/>
          <w:szCs w:val="24"/>
        </w:rPr>
        <w:t xml:space="preserve"> </w:t>
      </w:r>
      <w:r w:rsidRPr="00B918A8">
        <w:rPr>
          <w:color w:val="003B5C"/>
          <w:sz w:val="24"/>
          <w:szCs w:val="24"/>
        </w:rPr>
        <w:t xml:space="preserve">Principy městské výstavby a dlouhodobě udržitelný rozvoj Prahy i České republiky jsou součástí vize společnosti </w:t>
      </w:r>
      <w:proofErr w:type="spellStart"/>
      <w:r w:rsidRPr="00B918A8">
        <w:rPr>
          <w:color w:val="003B5C"/>
          <w:sz w:val="24"/>
          <w:szCs w:val="24"/>
        </w:rPr>
        <w:t>Passerinvest</w:t>
      </w:r>
      <w:proofErr w:type="spellEnd"/>
      <w:r w:rsidRPr="00B918A8">
        <w:rPr>
          <w:color w:val="003B5C"/>
          <w:sz w:val="24"/>
          <w:szCs w:val="24"/>
        </w:rPr>
        <w:t xml:space="preserve">, která si díky svému odpovědnému přístupu vybudovala velmi dobré jméno jak na domácí, tak na mezinárodní úrovni. Zásluhu na tom má nejen kvalita realizovaných projektů a vysoká úroveň poskytovaných služeb, ale </w:t>
      </w:r>
      <w:r>
        <w:rPr>
          <w:color w:val="003B5C"/>
          <w:sz w:val="24"/>
          <w:szCs w:val="24"/>
        </w:rPr>
        <w:t>také</w:t>
      </w:r>
      <w:r w:rsidRPr="00B918A8">
        <w:rPr>
          <w:color w:val="003B5C"/>
          <w:sz w:val="24"/>
          <w:szCs w:val="24"/>
        </w:rPr>
        <w:t xml:space="preserve"> smysl pro fair-play, zákaznický přístup a zejména zodpovědnost vůči společnosti i životnímu prostředí.  </w:t>
      </w:r>
    </w:p>
    <w:sectPr w:rsidR="00F5265F">
      <w:headerReference w:type="default" r:id="rId16"/>
      <w:footerReference w:type="default" r:id="rId17"/>
      <w:pgSz w:w="11900" w:h="16840"/>
      <w:pgMar w:top="2835" w:right="1015" w:bottom="1418" w:left="964" w:header="0" w:footer="22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0EB1" w14:textId="77777777" w:rsidR="00EA44A9" w:rsidRDefault="00EA44A9">
      <w:pPr>
        <w:spacing w:after="0" w:line="240" w:lineRule="auto"/>
      </w:pPr>
      <w:r>
        <w:separator/>
      </w:r>
    </w:p>
  </w:endnote>
  <w:endnote w:type="continuationSeparator" w:id="0">
    <w:p w14:paraId="1B027610" w14:textId="77777777" w:rsidR="00EA44A9" w:rsidRDefault="00EA4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Georgia">
    <w:panose1 w:val="02040502050405020303"/>
    <w:charset w:val="EE"/>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Urban Grotesk ReBo">
    <w:altName w:val="Calibri"/>
    <w:panose1 w:val="00000000000000000000"/>
    <w:charset w:val="00"/>
    <w:family w:val="modern"/>
    <w:notTrueType/>
    <w:pitch w:val="variable"/>
    <w:sig w:usb0="A00000AF" w:usb1="5001E07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EAA9" w14:textId="77777777" w:rsidR="00FC5341" w:rsidRDefault="005421C0">
    <w:pPr>
      <w:pStyle w:val="Zpat"/>
      <w:tabs>
        <w:tab w:val="clear" w:pos="4536"/>
        <w:tab w:val="clear" w:pos="9072"/>
        <w:tab w:val="left" w:pos="1680"/>
        <w:tab w:val="left" w:pos="11624"/>
      </w:tabs>
      <w:ind w:left="-159" w:right="-2"/>
    </w:pPr>
    <w:r>
      <w:rPr>
        <w:noProof/>
        <w:lang w:eastAsia="cs-CZ"/>
      </w:rPr>
      <mc:AlternateContent>
        <mc:Choice Requires="wps">
          <w:drawing>
            <wp:anchor distT="0" distB="0" distL="114300" distR="114300" simplePos="0" relativeHeight="251663360" behindDoc="0" locked="0" layoutInCell="1" allowOverlap="1" wp14:anchorId="505957EF" wp14:editId="0E8F4285">
              <wp:simplePos x="0" y="0"/>
              <wp:positionH relativeFrom="column">
                <wp:posOffset>6054379</wp:posOffset>
              </wp:positionH>
              <wp:positionV relativeFrom="paragraph">
                <wp:posOffset>925199</wp:posOffset>
              </wp:positionV>
              <wp:extent cx="236857" cy="236857"/>
              <wp:effectExtent l="0" t="0" r="0" b="0"/>
              <wp:wrapNone/>
              <wp:docPr id="769957334" name="Ovál 7"/>
              <wp:cNvGraphicFramePr/>
              <a:graphic xmlns:a="http://schemas.openxmlformats.org/drawingml/2006/main">
                <a:graphicData uri="http://schemas.microsoft.com/office/word/2010/wordprocessingShape">
                  <wps:wsp>
                    <wps:cNvSpPr/>
                    <wps:spPr>
                      <a:xfrm>
                        <a:off x="0" y="0"/>
                        <a:ext cx="236857" cy="236857"/>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7AC3C7"/>
                      </a:solidFill>
                      <a:ln cap="flat">
                        <a:noFill/>
                        <a:prstDash val="solid"/>
                      </a:ln>
                    </wps:spPr>
                    <wps:bodyPr lIns="0" tIns="0" rIns="0" bIns="0"/>
                  </wps:wsp>
                </a:graphicData>
              </a:graphic>
            </wp:anchor>
          </w:drawing>
        </mc:Choice>
        <mc:Fallback>
          <w:pict>
            <v:shape w14:anchorId="45077F9D" id="Ovál 7" o:spid="_x0000_s1026" style="position:absolute;margin-left:476.7pt;margin-top:72.85pt;width:18.65pt;height:18.6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36857,23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" path="m,118428at,,236856,236856,,118428,,118428xe" fillcolor="#7ac3c7" stroked="f">
              <v:path arrowok="t" o:connecttype="custom" o:connectlocs="118429,0;236857,118429;118429,236857;0,118429;34687,34687;34687,202170;202170,202170;202170,34687" o:connectangles="270,0,90,180,270,90,90,270" textboxrect="34687,34687,202170,202170"/>
            </v:shape>
          </w:pict>
        </mc:Fallback>
      </mc:AlternateContent>
    </w:r>
    <w:r>
      <w:rPr>
        <w:noProof/>
        <w:lang w:eastAsia="cs-CZ"/>
      </w:rPr>
      <mc:AlternateContent>
        <mc:Choice Requires="wps">
          <w:drawing>
            <wp:anchor distT="0" distB="0" distL="114300" distR="114300" simplePos="0" relativeHeight="251662336" behindDoc="0" locked="0" layoutInCell="1" allowOverlap="1" wp14:anchorId="28F7A1DD" wp14:editId="3F0961F1">
              <wp:simplePos x="0" y="0"/>
              <wp:positionH relativeFrom="column">
                <wp:posOffset>1854202</wp:posOffset>
              </wp:positionH>
              <wp:positionV relativeFrom="paragraph">
                <wp:posOffset>288292</wp:posOffset>
              </wp:positionV>
              <wp:extent cx="1611630" cy="985522"/>
              <wp:effectExtent l="0" t="0" r="7620" b="5078"/>
              <wp:wrapNone/>
              <wp:docPr id="1682535098" name="Textové pole 2"/>
              <wp:cNvGraphicFramePr/>
              <a:graphic xmlns:a="http://schemas.openxmlformats.org/drawingml/2006/main">
                <a:graphicData uri="http://schemas.microsoft.com/office/word/2010/wordprocessingShape">
                  <wps:wsp>
                    <wps:cNvSpPr txBox="1"/>
                    <wps:spPr>
                      <a:xfrm>
                        <a:off x="0" y="0"/>
                        <a:ext cx="1611630" cy="985522"/>
                      </a:xfrm>
                      <a:prstGeom prst="rect">
                        <a:avLst/>
                      </a:prstGeom>
                      <a:solidFill>
                        <a:srgbClr val="FFFFFF"/>
                      </a:solidFill>
                      <a:ln>
                        <a:noFill/>
                        <a:prstDash/>
                      </a:ln>
                    </wps:spPr>
                    <wps:txbx>
                      <w:txbxContent>
                        <w:p w14:paraId="31ED5151" w14:textId="77777777" w:rsidR="00FC5341" w:rsidRDefault="005421C0">
                          <w:pPr>
                            <w:spacing w:after="0" w:line="240" w:lineRule="auto"/>
                            <w:rPr>
                              <w:rFonts w:cs="Calibri"/>
                              <w:b/>
                              <w:bCs/>
                              <w:color w:val="013B5C"/>
                              <w:sz w:val="16"/>
                              <w:szCs w:val="16"/>
                            </w:rPr>
                          </w:pPr>
                          <w:r>
                            <w:rPr>
                              <w:rFonts w:cs="Calibri"/>
                              <w:b/>
                              <w:bCs/>
                              <w:color w:val="013B5C"/>
                              <w:sz w:val="16"/>
                              <w:szCs w:val="16"/>
                            </w:rPr>
                            <w:t>tel.: +420 221 582 111</w:t>
                          </w:r>
                        </w:p>
                        <w:p w14:paraId="78556F5B" w14:textId="77777777" w:rsidR="00FC5341" w:rsidRDefault="005421C0">
                          <w:pPr>
                            <w:spacing w:after="0" w:line="240" w:lineRule="auto"/>
                            <w:rPr>
                              <w:rFonts w:cs="Calibri"/>
                              <w:b/>
                              <w:bCs/>
                              <w:color w:val="013B5C"/>
                              <w:sz w:val="16"/>
                              <w:szCs w:val="16"/>
                            </w:rPr>
                          </w:pPr>
                          <w:r>
                            <w:rPr>
                              <w:rFonts w:cs="Calibri"/>
                              <w:b/>
                              <w:bCs/>
                              <w:color w:val="013B5C"/>
                              <w:sz w:val="16"/>
                              <w:szCs w:val="16"/>
                            </w:rPr>
                            <w:t>e-mail: info@passerinvest.cz</w:t>
                          </w:r>
                        </w:p>
                        <w:p w14:paraId="009DFB96" w14:textId="77777777" w:rsidR="00FC5341" w:rsidRDefault="005421C0">
                          <w:pPr>
                            <w:spacing w:after="0" w:line="240" w:lineRule="auto"/>
                            <w:rPr>
                              <w:rFonts w:cs="Calibri"/>
                              <w:b/>
                              <w:bCs/>
                              <w:color w:val="013B5C"/>
                              <w:sz w:val="16"/>
                              <w:szCs w:val="16"/>
                            </w:rPr>
                          </w:pPr>
                          <w:r>
                            <w:rPr>
                              <w:rFonts w:cs="Calibri"/>
                              <w:b/>
                              <w:bCs/>
                              <w:color w:val="013B5C"/>
                              <w:sz w:val="16"/>
                              <w:szCs w:val="16"/>
                            </w:rPr>
                            <w:t>www.passerinvest.cz</w:t>
                          </w:r>
                        </w:p>
                        <w:p w14:paraId="47C950FB" w14:textId="77777777" w:rsidR="00FC5341" w:rsidRDefault="005421C0">
                          <w:pPr>
                            <w:spacing w:after="0" w:line="240" w:lineRule="auto"/>
                            <w:rPr>
                              <w:rFonts w:cs="Calibri"/>
                              <w:b/>
                              <w:bCs/>
                              <w:color w:val="013B5C"/>
                              <w:sz w:val="16"/>
                              <w:szCs w:val="16"/>
                            </w:rPr>
                          </w:pPr>
                          <w:r>
                            <w:rPr>
                              <w:rFonts w:cs="Calibri"/>
                              <w:b/>
                              <w:bCs/>
                              <w:color w:val="013B5C"/>
                              <w:sz w:val="16"/>
                              <w:szCs w:val="16"/>
                            </w:rPr>
                            <w:t xml:space="preserve">www.brumlovka.cz </w:t>
                          </w:r>
                        </w:p>
                      </w:txbxContent>
                    </wps:txbx>
                    <wps:bodyPr vert="horz" wrap="square" lIns="91440" tIns="45720" rIns="91440" bIns="45720" anchor="t" anchorCtr="0" compatLnSpc="1">
                      <a:noAutofit/>
                    </wps:bodyPr>
                  </wps:wsp>
                </a:graphicData>
              </a:graphic>
            </wp:anchor>
          </w:drawing>
        </mc:Choice>
        <mc:Fallback>
          <w:pict>
            <v:shapetype w14:anchorId="28F7A1DD" id="_x0000_t202" coordsize="21600,21600" o:spt="202" path="m,l,21600r21600,l21600,xe">
              <v:stroke joinstyle="miter"/>
              <v:path gradientshapeok="t" o:connecttype="rect"/>
            </v:shapetype>
            <v:shape id="Textové pole 2" o:spid="_x0000_s1026" type="#_x0000_t202" style="position:absolute;left:0;text-align:left;margin-left:146pt;margin-top:22.7pt;width:126.9pt;height:77.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" stroked="f">
              <v:textbox>
                <w:txbxContent>
                  <w:p w14:paraId="31ED5151" w14:textId="77777777" w:rsidR="00FC5341" w:rsidRDefault="005421C0">
                    <w:pPr>
                      <w:spacing w:after="0" w:line="240" w:lineRule="auto"/>
                      <w:rPr>
                        <w:rFonts w:cs="Calibri"/>
                        <w:b/>
                        <w:bCs/>
                        <w:color w:val="013B5C"/>
                        <w:sz w:val="16"/>
                        <w:szCs w:val="16"/>
                      </w:rPr>
                    </w:pPr>
                    <w:r>
                      <w:rPr>
                        <w:rFonts w:cs="Calibri"/>
                        <w:b/>
                        <w:bCs/>
                        <w:color w:val="013B5C"/>
                        <w:sz w:val="16"/>
                        <w:szCs w:val="16"/>
                      </w:rPr>
                      <w:t>tel.: +420 221 582 111</w:t>
                    </w:r>
                  </w:p>
                  <w:p w14:paraId="78556F5B" w14:textId="77777777" w:rsidR="00FC5341" w:rsidRDefault="005421C0">
                    <w:pPr>
                      <w:spacing w:after="0" w:line="240" w:lineRule="auto"/>
                      <w:rPr>
                        <w:rFonts w:cs="Calibri"/>
                        <w:b/>
                        <w:bCs/>
                        <w:color w:val="013B5C"/>
                        <w:sz w:val="16"/>
                        <w:szCs w:val="16"/>
                      </w:rPr>
                    </w:pPr>
                    <w:r>
                      <w:rPr>
                        <w:rFonts w:cs="Calibri"/>
                        <w:b/>
                        <w:bCs/>
                        <w:color w:val="013B5C"/>
                        <w:sz w:val="16"/>
                        <w:szCs w:val="16"/>
                      </w:rPr>
                      <w:t>e-mail: info@passerinvest.cz</w:t>
                    </w:r>
                  </w:p>
                  <w:p w14:paraId="009DFB96" w14:textId="77777777" w:rsidR="00FC5341" w:rsidRDefault="005421C0">
                    <w:pPr>
                      <w:spacing w:after="0" w:line="240" w:lineRule="auto"/>
                      <w:rPr>
                        <w:rFonts w:cs="Calibri"/>
                        <w:b/>
                        <w:bCs/>
                        <w:color w:val="013B5C"/>
                        <w:sz w:val="16"/>
                        <w:szCs w:val="16"/>
                      </w:rPr>
                    </w:pPr>
                    <w:r>
                      <w:rPr>
                        <w:rFonts w:cs="Calibri"/>
                        <w:b/>
                        <w:bCs/>
                        <w:color w:val="013B5C"/>
                        <w:sz w:val="16"/>
                        <w:szCs w:val="16"/>
                      </w:rPr>
                      <w:t>www.passerinvest.cz</w:t>
                    </w:r>
                  </w:p>
                  <w:p w14:paraId="47C950FB" w14:textId="77777777" w:rsidR="00FC5341" w:rsidRDefault="005421C0">
                    <w:pPr>
                      <w:spacing w:after="0" w:line="240" w:lineRule="auto"/>
                      <w:rPr>
                        <w:rFonts w:cs="Calibri"/>
                        <w:b/>
                        <w:bCs/>
                        <w:color w:val="013B5C"/>
                        <w:sz w:val="16"/>
                        <w:szCs w:val="16"/>
                      </w:rPr>
                    </w:pPr>
                    <w:r>
                      <w:rPr>
                        <w:rFonts w:cs="Calibri"/>
                        <w:b/>
                        <w:bCs/>
                        <w:color w:val="013B5C"/>
                        <w:sz w:val="16"/>
                        <w:szCs w:val="16"/>
                      </w:rPr>
                      <w:t xml:space="preserve">www.brumlovka.cz </w:t>
                    </w:r>
                  </w:p>
                </w:txbxContent>
              </v:textbox>
            </v:shape>
          </w:pict>
        </mc:Fallback>
      </mc:AlternateContent>
    </w:r>
    <w:r>
      <w:rPr>
        <w:noProof/>
        <w:lang w:eastAsia="cs-CZ"/>
      </w:rPr>
      <mc:AlternateContent>
        <mc:Choice Requires="wps">
          <w:drawing>
            <wp:anchor distT="0" distB="0" distL="114300" distR="114300" simplePos="0" relativeHeight="251661312" behindDoc="0" locked="0" layoutInCell="1" allowOverlap="1" wp14:anchorId="65FF3F67" wp14:editId="0C303EFE">
              <wp:simplePos x="0" y="0"/>
              <wp:positionH relativeFrom="column">
                <wp:posOffset>-14602</wp:posOffset>
              </wp:positionH>
              <wp:positionV relativeFrom="paragraph">
                <wp:posOffset>288292</wp:posOffset>
              </wp:positionV>
              <wp:extent cx="1611630" cy="985522"/>
              <wp:effectExtent l="0" t="0" r="7620" b="5078"/>
              <wp:wrapNone/>
              <wp:docPr id="1472203324" name="Textové pole 1"/>
              <wp:cNvGraphicFramePr/>
              <a:graphic xmlns:a="http://schemas.openxmlformats.org/drawingml/2006/main">
                <a:graphicData uri="http://schemas.microsoft.com/office/word/2010/wordprocessingShape">
                  <wps:wsp>
                    <wps:cNvSpPr txBox="1"/>
                    <wps:spPr>
                      <a:xfrm>
                        <a:off x="0" y="0"/>
                        <a:ext cx="1611630" cy="985522"/>
                      </a:xfrm>
                      <a:prstGeom prst="rect">
                        <a:avLst/>
                      </a:prstGeom>
                      <a:solidFill>
                        <a:srgbClr val="FFFFFF"/>
                      </a:solidFill>
                      <a:ln>
                        <a:noFill/>
                        <a:prstDash/>
                      </a:ln>
                    </wps:spPr>
                    <wps:txbx>
                      <w:txbxContent>
                        <w:p w14:paraId="2597808D" w14:textId="77777777" w:rsidR="00FC5341" w:rsidRDefault="005421C0">
                          <w:pPr>
                            <w:spacing w:after="0" w:line="240" w:lineRule="auto"/>
                            <w:rPr>
                              <w:rFonts w:cs="Calibri"/>
                              <w:b/>
                              <w:bCs/>
                              <w:color w:val="013B5C"/>
                              <w:sz w:val="16"/>
                              <w:szCs w:val="16"/>
                            </w:rPr>
                          </w:pPr>
                          <w:r>
                            <w:rPr>
                              <w:rFonts w:cs="Calibri"/>
                              <w:b/>
                              <w:bCs/>
                              <w:color w:val="013B5C"/>
                              <w:sz w:val="16"/>
                              <w:szCs w:val="16"/>
                            </w:rPr>
                            <w:t>PASSERINVEST GROUP, a.s.</w:t>
                          </w:r>
                        </w:p>
                        <w:p w14:paraId="402B7837" w14:textId="77777777" w:rsidR="00FC5341" w:rsidRDefault="005421C0">
                          <w:pPr>
                            <w:spacing w:after="0" w:line="240" w:lineRule="auto"/>
                            <w:rPr>
                              <w:rFonts w:cs="Calibri"/>
                              <w:b/>
                              <w:bCs/>
                              <w:color w:val="013B5C"/>
                              <w:sz w:val="16"/>
                              <w:szCs w:val="16"/>
                            </w:rPr>
                          </w:pPr>
                          <w:r>
                            <w:rPr>
                              <w:rFonts w:cs="Calibri"/>
                              <w:b/>
                              <w:bCs/>
                              <w:color w:val="013B5C"/>
                              <w:sz w:val="16"/>
                              <w:szCs w:val="16"/>
                            </w:rPr>
                            <w:t>Brumlovka, budova Filadelfie</w:t>
                          </w:r>
                        </w:p>
                        <w:p w14:paraId="5EAFAB66" w14:textId="77777777" w:rsidR="00FC5341" w:rsidRDefault="005421C0">
                          <w:pPr>
                            <w:spacing w:after="0" w:line="240" w:lineRule="auto"/>
                            <w:rPr>
                              <w:rFonts w:cs="Calibri"/>
                              <w:b/>
                              <w:bCs/>
                              <w:color w:val="013B5C"/>
                              <w:sz w:val="16"/>
                              <w:szCs w:val="16"/>
                            </w:rPr>
                          </w:pPr>
                          <w:r>
                            <w:rPr>
                              <w:rFonts w:cs="Calibri"/>
                              <w:b/>
                              <w:bCs/>
                              <w:color w:val="013B5C"/>
                              <w:sz w:val="16"/>
                              <w:szCs w:val="16"/>
                            </w:rPr>
                            <w:t>Želetavská 1525/1</w:t>
                          </w:r>
                        </w:p>
                        <w:p w14:paraId="144F4498" w14:textId="77777777" w:rsidR="00FC5341" w:rsidRDefault="005421C0">
                          <w:pPr>
                            <w:spacing w:after="0" w:line="240" w:lineRule="auto"/>
                            <w:rPr>
                              <w:rFonts w:cs="Calibri"/>
                              <w:b/>
                              <w:bCs/>
                              <w:color w:val="013B5C"/>
                              <w:sz w:val="16"/>
                              <w:szCs w:val="16"/>
                            </w:rPr>
                          </w:pPr>
                          <w:r>
                            <w:rPr>
                              <w:rFonts w:cs="Calibri"/>
                              <w:b/>
                              <w:bCs/>
                              <w:color w:val="013B5C"/>
                              <w:sz w:val="16"/>
                              <w:szCs w:val="16"/>
                            </w:rPr>
                            <w:t>140 00 Praha 4, Česká republika</w:t>
                          </w:r>
                        </w:p>
                        <w:p w14:paraId="40073B35" w14:textId="77777777" w:rsidR="00FC5341" w:rsidRDefault="005421C0">
                          <w:pPr>
                            <w:spacing w:after="0" w:line="240" w:lineRule="auto"/>
                            <w:rPr>
                              <w:rFonts w:cs="Calibri"/>
                              <w:b/>
                              <w:bCs/>
                              <w:color w:val="013B5C"/>
                              <w:sz w:val="16"/>
                              <w:szCs w:val="16"/>
                            </w:rPr>
                          </w:pPr>
                          <w:r>
                            <w:rPr>
                              <w:rFonts w:cs="Calibri"/>
                              <w:b/>
                              <w:bCs/>
                              <w:color w:val="013B5C"/>
                              <w:sz w:val="16"/>
                              <w:szCs w:val="16"/>
                            </w:rPr>
                            <w:t>IČO: 261 18 963</w:t>
                          </w:r>
                        </w:p>
                        <w:p w14:paraId="70773EBC" w14:textId="77777777" w:rsidR="00FC5341" w:rsidRDefault="005421C0">
                          <w:pPr>
                            <w:spacing w:after="0" w:line="240" w:lineRule="auto"/>
                            <w:rPr>
                              <w:rFonts w:cs="Calibri"/>
                              <w:b/>
                              <w:bCs/>
                              <w:color w:val="013B5C"/>
                              <w:sz w:val="16"/>
                              <w:szCs w:val="16"/>
                            </w:rPr>
                          </w:pPr>
                          <w:r>
                            <w:rPr>
                              <w:rFonts w:cs="Calibri"/>
                              <w:b/>
                              <w:bCs/>
                              <w:color w:val="013B5C"/>
                              <w:sz w:val="16"/>
                              <w:szCs w:val="16"/>
                            </w:rPr>
                            <w:t>DIČ: CZ26118963</w:t>
                          </w:r>
                        </w:p>
                      </w:txbxContent>
                    </wps:txbx>
                    <wps:bodyPr vert="horz" wrap="square" lIns="91440" tIns="45720" rIns="91440" bIns="45720" anchor="t" anchorCtr="0" compatLnSpc="1">
                      <a:noAutofit/>
                    </wps:bodyPr>
                  </wps:wsp>
                </a:graphicData>
              </a:graphic>
            </wp:anchor>
          </w:drawing>
        </mc:Choice>
        <mc:Fallback>
          <w:pict>
            <v:shape w14:anchorId="65FF3F67" id="Textové pole 1" o:spid="_x0000_s1027" type="#_x0000_t202" style="position:absolute;left:0;text-align:left;margin-left:-1.15pt;margin-top:22.7pt;width:126.9pt;height:77.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" stroked="f">
              <v:textbox>
                <w:txbxContent>
                  <w:p w14:paraId="2597808D" w14:textId="77777777" w:rsidR="00FC5341" w:rsidRDefault="005421C0">
                    <w:pPr>
                      <w:spacing w:after="0" w:line="240" w:lineRule="auto"/>
                      <w:rPr>
                        <w:rFonts w:cs="Calibri"/>
                        <w:b/>
                        <w:bCs/>
                        <w:color w:val="013B5C"/>
                        <w:sz w:val="16"/>
                        <w:szCs w:val="16"/>
                      </w:rPr>
                    </w:pPr>
                    <w:r>
                      <w:rPr>
                        <w:rFonts w:cs="Calibri"/>
                        <w:b/>
                        <w:bCs/>
                        <w:color w:val="013B5C"/>
                        <w:sz w:val="16"/>
                        <w:szCs w:val="16"/>
                      </w:rPr>
                      <w:t>PASSERINVEST GROUP, a.s.</w:t>
                    </w:r>
                  </w:p>
                  <w:p w14:paraId="402B7837" w14:textId="77777777" w:rsidR="00FC5341" w:rsidRDefault="005421C0">
                    <w:pPr>
                      <w:spacing w:after="0" w:line="240" w:lineRule="auto"/>
                      <w:rPr>
                        <w:rFonts w:cs="Calibri"/>
                        <w:b/>
                        <w:bCs/>
                        <w:color w:val="013B5C"/>
                        <w:sz w:val="16"/>
                        <w:szCs w:val="16"/>
                      </w:rPr>
                    </w:pPr>
                    <w:r>
                      <w:rPr>
                        <w:rFonts w:cs="Calibri"/>
                        <w:b/>
                        <w:bCs/>
                        <w:color w:val="013B5C"/>
                        <w:sz w:val="16"/>
                        <w:szCs w:val="16"/>
                      </w:rPr>
                      <w:t>Brumlovka, budova Filadelfie</w:t>
                    </w:r>
                  </w:p>
                  <w:p w14:paraId="5EAFAB66" w14:textId="77777777" w:rsidR="00FC5341" w:rsidRDefault="005421C0">
                    <w:pPr>
                      <w:spacing w:after="0" w:line="240" w:lineRule="auto"/>
                      <w:rPr>
                        <w:rFonts w:cs="Calibri"/>
                        <w:b/>
                        <w:bCs/>
                        <w:color w:val="013B5C"/>
                        <w:sz w:val="16"/>
                        <w:szCs w:val="16"/>
                      </w:rPr>
                    </w:pPr>
                    <w:r>
                      <w:rPr>
                        <w:rFonts w:cs="Calibri"/>
                        <w:b/>
                        <w:bCs/>
                        <w:color w:val="013B5C"/>
                        <w:sz w:val="16"/>
                        <w:szCs w:val="16"/>
                      </w:rPr>
                      <w:t>Želetavská 1525/1</w:t>
                    </w:r>
                  </w:p>
                  <w:p w14:paraId="144F4498" w14:textId="77777777" w:rsidR="00FC5341" w:rsidRDefault="005421C0">
                    <w:pPr>
                      <w:spacing w:after="0" w:line="240" w:lineRule="auto"/>
                      <w:rPr>
                        <w:rFonts w:cs="Calibri"/>
                        <w:b/>
                        <w:bCs/>
                        <w:color w:val="013B5C"/>
                        <w:sz w:val="16"/>
                        <w:szCs w:val="16"/>
                      </w:rPr>
                    </w:pPr>
                    <w:r>
                      <w:rPr>
                        <w:rFonts w:cs="Calibri"/>
                        <w:b/>
                        <w:bCs/>
                        <w:color w:val="013B5C"/>
                        <w:sz w:val="16"/>
                        <w:szCs w:val="16"/>
                      </w:rPr>
                      <w:t>140 00 Praha 4, Česká republika</w:t>
                    </w:r>
                  </w:p>
                  <w:p w14:paraId="40073B35" w14:textId="77777777" w:rsidR="00FC5341" w:rsidRDefault="005421C0">
                    <w:pPr>
                      <w:spacing w:after="0" w:line="240" w:lineRule="auto"/>
                      <w:rPr>
                        <w:rFonts w:cs="Calibri"/>
                        <w:b/>
                        <w:bCs/>
                        <w:color w:val="013B5C"/>
                        <w:sz w:val="16"/>
                        <w:szCs w:val="16"/>
                      </w:rPr>
                    </w:pPr>
                    <w:r>
                      <w:rPr>
                        <w:rFonts w:cs="Calibri"/>
                        <w:b/>
                        <w:bCs/>
                        <w:color w:val="013B5C"/>
                        <w:sz w:val="16"/>
                        <w:szCs w:val="16"/>
                      </w:rPr>
                      <w:t>IČO: 261 18 963</w:t>
                    </w:r>
                  </w:p>
                  <w:p w14:paraId="70773EBC" w14:textId="77777777" w:rsidR="00FC5341" w:rsidRDefault="005421C0">
                    <w:pPr>
                      <w:spacing w:after="0" w:line="240" w:lineRule="auto"/>
                      <w:rPr>
                        <w:rFonts w:cs="Calibri"/>
                        <w:b/>
                        <w:bCs/>
                        <w:color w:val="013B5C"/>
                        <w:sz w:val="16"/>
                        <w:szCs w:val="16"/>
                      </w:rPr>
                    </w:pPr>
                    <w:r>
                      <w:rPr>
                        <w:rFonts w:cs="Calibri"/>
                        <w:b/>
                        <w:bCs/>
                        <w:color w:val="013B5C"/>
                        <w:sz w:val="16"/>
                        <w:szCs w:val="16"/>
                      </w:rPr>
                      <w:t>DIČ: CZ26118963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E9FD" w14:textId="77777777" w:rsidR="00EA44A9" w:rsidRDefault="00EA44A9">
      <w:pPr>
        <w:spacing w:after="0" w:line="240" w:lineRule="auto"/>
      </w:pPr>
      <w:r>
        <w:rPr>
          <w:color w:val="000000"/>
        </w:rPr>
        <w:separator/>
      </w:r>
    </w:p>
  </w:footnote>
  <w:footnote w:type="continuationSeparator" w:id="0">
    <w:p w14:paraId="764EAF32" w14:textId="77777777" w:rsidR="00EA44A9" w:rsidRDefault="00EA4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FA24" w14:textId="77777777" w:rsidR="00FC5341" w:rsidRDefault="00FC5341">
    <w:pPr>
      <w:pStyle w:val="Zhlav"/>
      <w:tabs>
        <w:tab w:val="clear" w:pos="9072"/>
      </w:tabs>
      <w:snapToGrid w:val="0"/>
      <w:rPr>
        <w:lang w:eastAsia="cs-CZ"/>
      </w:rPr>
    </w:pPr>
  </w:p>
  <w:p w14:paraId="4DC22B24" w14:textId="77777777" w:rsidR="00FC5341" w:rsidRDefault="00FC5341">
    <w:pPr>
      <w:pStyle w:val="Zhlav"/>
      <w:tabs>
        <w:tab w:val="clear" w:pos="9072"/>
      </w:tabs>
      <w:snapToGrid w:val="0"/>
      <w:rPr>
        <w:lang w:eastAsia="cs-CZ"/>
      </w:rPr>
    </w:pPr>
  </w:p>
  <w:p w14:paraId="2CFDEBC8" w14:textId="77777777" w:rsidR="00FC5341" w:rsidRDefault="00FC5341">
    <w:pPr>
      <w:pStyle w:val="Zhlav"/>
      <w:tabs>
        <w:tab w:val="clear" w:pos="9072"/>
      </w:tabs>
      <w:snapToGrid w:val="0"/>
      <w:rPr>
        <w:lang w:eastAsia="cs-CZ"/>
      </w:rPr>
    </w:pPr>
  </w:p>
  <w:p w14:paraId="244B1A1F" w14:textId="77777777" w:rsidR="00FC5341" w:rsidRDefault="005421C0">
    <w:pPr>
      <w:pStyle w:val="Zhlav"/>
      <w:tabs>
        <w:tab w:val="clear" w:pos="9072"/>
      </w:tabs>
      <w:snapToGrid w:val="0"/>
    </w:pPr>
    <w:r>
      <w:rPr>
        <w:rFonts w:cs="Calibri"/>
        <w:noProof/>
        <w:color w:val="003B5C"/>
        <w:lang w:eastAsia="cs-CZ"/>
      </w:rPr>
      <w:drawing>
        <wp:anchor distT="0" distB="0" distL="114300" distR="114300" simplePos="0" relativeHeight="251659264" behindDoc="1" locked="0" layoutInCell="1" allowOverlap="1" wp14:anchorId="606D3F47" wp14:editId="5A217383">
          <wp:simplePos x="0" y="0"/>
          <wp:positionH relativeFrom="column">
            <wp:posOffset>0</wp:posOffset>
          </wp:positionH>
          <wp:positionV relativeFrom="page">
            <wp:posOffset>557527</wp:posOffset>
          </wp:positionV>
          <wp:extent cx="1929127" cy="432438"/>
          <wp:effectExtent l="0" t="0" r="0" b="5712"/>
          <wp:wrapNone/>
          <wp:docPr id="1767767489" name="Grafický objekt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929127" cy="432438"/>
                  </a:xfrm>
                  <a:prstGeom prst="rect">
                    <a:avLst/>
                  </a:prstGeom>
                  <a:noFill/>
                  <a:ln>
                    <a:noFill/>
                    <a:prstDash/>
                  </a:ln>
                </pic:spPr>
              </pic:pic>
            </a:graphicData>
          </a:graphic>
        </wp:anchor>
      </w:drawing>
    </w:r>
  </w:p>
  <w:p w14:paraId="7035CF28" w14:textId="77777777" w:rsidR="00FC5341" w:rsidRDefault="00FC5341">
    <w:pPr>
      <w:pStyle w:val="Zhlav"/>
      <w:tabs>
        <w:tab w:val="clear" w:pos="4536"/>
        <w:tab w:val="clear" w:pos="9072"/>
        <w:tab w:val="left" w:pos="1500"/>
      </w:tabs>
      <w:snapToGrid w:val="0"/>
      <w:rPr>
        <w:rFonts w:ascii="Urban Grotesk ReBo" w:hAnsi="Urban Grotesk ReBo"/>
        <w:color w:val="003B5C"/>
      </w:rPr>
    </w:pPr>
  </w:p>
  <w:p w14:paraId="5B591EB3" w14:textId="77777777" w:rsidR="00FC5341" w:rsidRDefault="00FC5341">
    <w:pPr>
      <w:pStyle w:val="Zhlav"/>
      <w:tabs>
        <w:tab w:val="clear" w:pos="9072"/>
      </w:tabs>
      <w:snapToGrid w:val="0"/>
      <w:rPr>
        <w:rFonts w:ascii="Urban Grotesk ReBo" w:hAnsi="Urban Grotesk ReBo"/>
        <w:color w:val="003B5C"/>
      </w:rPr>
    </w:pPr>
  </w:p>
  <w:p w14:paraId="04FBABE5" w14:textId="5A716C04" w:rsidR="00FC5341" w:rsidRDefault="005421C0">
    <w:pPr>
      <w:pStyle w:val="Zhlav"/>
      <w:tabs>
        <w:tab w:val="clear" w:pos="9072"/>
      </w:tabs>
      <w:snapToGrid w:val="0"/>
    </w:pPr>
    <w:r>
      <w:br/>
    </w:r>
    <w:r w:rsidR="747240B6" w:rsidRPr="747240B6">
      <w:rPr>
        <w:color w:val="003B5C"/>
        <w:sz w:val="28"/>
        <w:szCs w:val="28"/>
      </w:rPr>
      <w:t xml:space="preserve">TISKOVÁ ZPRÁVA     </w:t>
    </w:r>
    <w:r>
      <w:tab/>
    </w:r>
    <w:r>
      <w:tab/>
    </w:r>
    <w:r>
      <w:tab/>
    </w:r>
    <w:r w:rsidR="747240B6" w:rsidRPr="747240B6">
      <w:rPr>
        <w:color w:val="003B5C"/>
        <w:sz w:val="28"/>
        <w:szCs w:val="28"/>
      </w:rPr>
      <w:t xml:space="preserve">                    </w:t>
    </w:r>
    <w:r w:rsidR="747240B6" w:rsidRPr="747240B6">
      <w:rPr>
        <w:color w:val="003B5C"/>
      </w:rPr>
      <w:t xml:space="preserve">V Praze dne </w:t>
    </w:r>
    <w:r w:rsidR="003D7F94">
      <w:rPr>
        <w:color w:val="003B5C"/>
      </w:rPr>
      <w:t>8</w:t>
    </w:r>
    <w:r w:rsidR="747240B6" w:rsidRPr="747240B6">
      <w:rPr>
        <w:color w:val="003B5C"/>
      </w:rPr>
      <w:t xml:space="preserve">. </w:t>
    </w:r>
    <w:r w:rsidR="00AB4B55">
      <w:rPr>
        <w:color w:val="003B5C"/>
      </w:rPr>
      <w:t>října</w:t>
    </w:r>
    <w:r w:rsidR="747240B6" w:rsidRPr="747240B6">
      <w:rPr>
        <w:color w:val="003B5C"/>
      </w:rPr>
      <w:t xml:space="preserv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65F"/>
    <w:rsid w:val="0001040E"/>
    <w:rsid w:val="000165D8"/>
    <w:rsid w:val="00033579"/>
    <w:rsid w:val="00034C34"/>
    <w:rsid w:val="000364AE"/>
    <w:rsid w:val="0004009E"/>
    <w:rsid w:val="00040E55"/>
    <w:rsid w:val="00050C84"/>
    <w:rsid w:val="00060D44"/>
    <w:rsid w:val="00061293"/>
    <w:rsid w:val="00063DED"/>
    <w:rsid w:val="00064ABA"/>
    <w:rsid w:val="000850A2"/>
    <w:rsid w:val="00085D14"/>
    <w:rsid w:val="000877DC"/>
    <w:rsid w:val="00090578"/>
    <w:rsid w:val="00097D33"/>
    <w:rsid w:val="000A19AD"/>
    <w:rsid w:val="000A3D3E"/>
    <w:rsid w:val="000A49B7"/>
    <w:rsid w:val="000B4826"/>
    <w:rsid w:val="000B50CB"/>
    <w:rsid w:val="000C28C8"/>
    <w:rsid w:val="000C6080"/>
    <w:rsid w:val="000D6F0A"/>
    <w:rsid w:val="000E0802"/>
    <w:rsid w:val="000F2412"/>
    <w:rsid w:val="000F30EF"/>
    <w:rsid w:val="000F39AF"/>
    <w:rsid w:val="000F46D0"/>
    <w:rsid w:val="00102C66"/>
    <w:rsid w:val="00104710"/>
    <w:rsid w:val="001056EC"/>
    <w:rsid w:val="00110724"/>
    <w:rsid w:val="00110A60"/>
    <w:rsid w:val="00115A92"/>
    <w:rsid w:val="00120F3A"/>
    <w:rsid w:val="001213D1"/>
    <w:rsid w:val="001251B2"/>
    <w:rsid w:val="00125893"/>
    <w:rsid w:val="00126FC3"/>
    <w:rsid w:val="001354E9"/>
    <w:rsid w:val="001356DE"/>
    <w:rsid w:val="00145516"/>
    <w:rsid w:val="00147C47"/>
    <w:rsid w:val="00147D27"/>
    <w:rsid w:val="001614AF"/>
    <w:rsid w:val="00162FFE"/>
    <w:rsid w:val="00167042"/>
    <w:rsid w:val="00170F6C"/>
    <w:rsid w:val="001717FD"/>
    <w:rsid w:val="00172545"/>
    <w:rsid w:val="00184F59"/>
    <w:rsid w:val="00195631"/>
    <w:rsid w:val="001956FA"/>
    <w:rsid w:val="001B2E48"/>
    <w:rsid w:val="001B4989"/>
    <w:rsid w:val="001B67F0"/>
    <w:rsid w:val="001C14D3"/>
    <w:rsid w:val="001D5F41"/>
    <w:rsid w:val="001D7B13"/>
    <w:rsid w:val="001E1662"/>
    <w:rsid w:val="001E5BC2"/>
    <w:rsid w:val="001F0585"/>
    <w:rsid w:val="001F403A"/>
    <w:rsid w:val="001F58DC"/>
    <w:rsid w:val="00200C84"/>
    <w:rsid w:val="002042E3"/>
    <w:rsid w:val="00204568"/>
    <w:rsid w:val="00207218"/>
    <w:rsid w:val="0021330B"/>
    <w:rsid w:val="002224D5"/>
    <w:rsid w:val="0022696B"/>
    <w:rsid w:val="00237B8B"/>
    <w:rsid w:val="002447F2"/>
    <w:rsid w:val="00245324"/>
    <w:rsid w:val="00253D47"/>
    <w:rsid w:val="00282A21"/>
    <w:rsid w:val="00286AA1"/>
    <w:rsid w:val="00293521"/>
    <w:rsid w:val="002975ED"/>
    <w:rsid w:val="002A26D9"/>
    <w:rsid w:val="002A3602"/>
    <w:rsid w:val="002B0CD6"/>
    <w:rsid w:val="002B167F"/>
    <w:rsid w:val="002B7C03"/>
    <w:rsid w:val="002B7F89"/>
    <w:rsid w:val="002C6BC8"/>
    <w:rsid w:val="002D0FAA"/>
    <w:rsid w:val="002D1D1E"/>
    <w:rsid w:val="002E3C46"/>
    <w:rsid w:val="002F0117"/>
    <w:rsid w:val="002F02EE"/>
    <w:rsid w:val="002F3DA8"/>
    <w:rsid w:val="002F61BC"/>
    <w:rsid w:val="00300D99"/>
    <w:rsid w:val="00301848"/>
    <w:rsid w:val="00304431"/>
    <w:rsid w:val="003053AC"/>
    <w:rsid w:val="00306F0D"/>
    <w:rsid w:val="00310111"/>
    <w:rsid w:val="003274E8"/>
    <w:rsid w:val="00330E31"/>
    <w:rsid w:val="00333E60"/>
    <w:rsid w:val="00340B66"/>
    <w:rsid w:val="00345610"/>
    <w:rsid w:val="00345B68"/>
    <w:rsid w:val="003472E3"/>
    <w:rsid w:val="00352516"/>
    <w:rsid w:val="00352E64"/>
    <w:rsid w:val="00356ABF"/>
    <w:rsid w:val="00356BAA"/>
    <w:rsid w:val="0036768E"/>
    <w:rsid w:val="00371D1F"/>
    <w:rsid w:val="003747AB"/>
    <w:rsid w:val="00374CE0"/>
    <w:rsid w:val="00382A1F"/>
    <w:rsid w:val="003903FF"/>
    <w:rsid w:val="00391643"/>
    <w:rsid w:val="00394BFE"/>
    <w:rsid w:val="003A1E07"/>
    <w:rsid w:val="003A4157"/>
    <w:rsid w:val="003A6954"/>
    <w:rsid w:val="003B7E23"/>
    <w:rsid w:val="003D1A7D"/>
    <w:rsid w:val="003D2604"/>
    <w:rsid w:val="003D2F8F"/>
    <w:rsid w:val="003D7F94"/>
    <w:rsid w:val="003E1D37"/>
    <w:rsid w:val="003E2A22"/>
    <w:rsid w:val="003E30DD"/>
    <w:rsid w:val="003E3D3B"/>
    <w:rsid w:val="003E6725"/>
    <w:rsid w:val="004027CC"/>
    <w:rsid w:val="004074A4"/>
    <w:rsid w:val="00414D99"/>
    <w:rsid w:val="004232AE"/>
    <w:rsid w:val="0042512E"/>
    <w:rsid w:val="0044060B"/>
    <w:rsid w:val="00441707"/>
    <w:rsid w:val="00444829"/>
    <w:rsid w:val="00446E72"/>
    <w:rsid w:val="00450C6E"/>
    <w:rsid w:val="004517C5"/>
    <w:rsid w:val="00451A23"/>
    <w:rsid w:val="004523CC"/>
    <w:rsid w:val="00452605"/>
    <w:rsid w:val="004531CD"/>
    <w:rsid w:val="004531E3"/>
    <w:rsid w:val="00453C46"/>
    <w:rsid w:val="00456B0F"/>
    <w:rsid w:val="0045771D"/>
    <w:rsid w:val="00457A10"/>
    <w:rsid w:val="0046761E"/>
    <w:rsid w:val="00467D29"/>
    <w:rsid w:val="004704E0"/>
    <w:rsid w:val="004773E2"/>
    <w:rsid w:val="00482A22"/>
    <w:rsid w:val="0048518B"/>
    <w:rsid w:val="00491C49"/>
    <w:rsid w:val="00493501"/>
    <w:rsid w:val="00493F81"/>
    <w:rsid w:val="004A09A7"/>
    <w:rsid w:val="004A4535"/>
    <w:rsid w:val="004B3D97"/>
    <w:rsid w:val="004B4393"/>
    <w:rsid w:val="004B4630"/>
    <w:rsid w:val="004C105E"/>
    <w:rsid w:val="004C4A04"/>
    <w:rsid w:val="004C6BC6"/>
    <w:rsid w:val="004D5938"/>
    <w:rsid w:val="004D6D1A"/>
    <w:rsid w:val="004E01FE"/>
    <w:rsid w:val="004E13A2"/>
    <w:rsid w:val="004E262B"/>
    <w:rsid w:val="004E541D"/>
    <w:rsid w:val="004E6C31"/>
    <w:rsid w:val="004E74EE"/>
    <w:rsid w:val="004F0620"/>
    <w:rsid w:val="004F33F3"/>
    <w:rsid w:val="00505D07"/>
    <w:rsid w:val="0051016B"/>
    <w:rsid w:val="005121B2"/>
    <w:rsid w:val="00516F41"/>
    <w:rsid w:val="00517D5B"/>
    <w:rsid w:val="0052677A"/>
    <w:rsid w:val="00532717"/>
    <w:rsid w:val="005348C2"/>
    <w:rsid w:val="005421C0"/>
    <w:rsid w:val="00551662"/>
    <w:rsid w:val="00551844"/>
    <w:rsid w:val="00565B74"/>
    <w:rsid w:val="0057676E"/>
    <w:rsid w:val="00577FB5"/>
    <w:rsid w:val="005816A1"/>
    <w:rsid w:val="00582282"/>
    <w:rsid w:val="00590C1C"/>
    <w:rsid w:val="00593ED2"/>
    <w:rsid w:val="0059429B"/>
    <w:rsid w:val="00596EA9"/>
    <w:rsid w:val="005A2283"/>
    <w:rsid w:val="005B2EC4"/>
    <w:rsid w:val="005B3155"/>
    <w:rsid w:val="005C5C3D"/>
    <w:rsid w:val="005D2F90"/>
    <w:rsid w:val="005D5548"/>
    <w:rsid w:val="005E0B61"/>
    <w:rsid w:val="005E0DE4"/>
    <w:rsid w:val="005E51B5"/>
    <w:rsid w:val="005E51D7"/>
    <w:rsid w:val="005E5C87"/>
    <w:rsid w:val="005F3CC9"/>
    <w:rsid w:val="005F4840"/>
    <w:rsid w:val="005F6A06"/>
    <w:rsid w:val="005F6CE4"/>
    <w:rsid w:val="00601F38"/>
    <w:rsid w:val="00604FA3"/>
    <w:rsid w:val="00606D24"/>
    <w:rsid w:val="006104CC"/>
    <w:rsid w:val="00612181"/>
    <w:rsid w:val="006142A1"/>
    <w:rsid w:val="0062447E"/>
    <w:rsid w:val="006318BD"/>
    <w:rsid w:val="006356BE"/>
    <w:rsid w:val="0065013A"/>
    <w:rsid w:val="006505BB"/>
    <w:rsid w:val="0065135B"/>
    <w:rsid w:val="00651F16"/>
    <w:rsid w:val="006539B2"/>
    <w:rsid w:val="006634BD"/>
    <w:rsid w:val="00663DC2"/>
    <w:rsid w:val="0066588F"/>
    <w:rsid w:val="00673685"/>
    <w:rsid w:val="006748AA"/>
    <w:rsid w:val="00675EF5"/>
    <w:rsid w:val="0068573E"/>
    <w:rsid w:val="006859C4"/>
    <w:rsid w:val="006936F4"/>
    <w:rsid w:val="00697D35"/>
    <w:rsid w:val="006A55B9"/>
    <w:rsid w:val="006C2663"/>
    <w:rsid w:val="006C412B"/>
    <w:rsid w:val="006C4A27"/>
    <w:rsid w:val="006C60F2"/>
    <w:rsid w:val="006D47DB"/>
    <w:rsid w:val="006E1161"/>
    <w:rsid w:val="006E3D8E"/>
    <w:rsid w:val="006F0C29"/>
    <w:rsid w:val="006F4A97"/>
    <w:rsid w:val="006F68C3"/>
    <w:rsid w:val="006F6AD8"/>
    <w:rsid w:val="006F7539"/>
    <w:rsid w:val="00705EEB"/>
    <w:rsid w:val="007124D1"/>
    <w:rsid w:val="00712978"/>
    <w:rsid w:val="00713CBA"/>
    <w:rsid w:val="00720738"/>
    <w:rsid w:val="00724481"/>
    <w:rsid w:val="00733083"/>
    <w:rsid w:val="0073377B"/>
    <w:rsid w:val="007343E8"/>
    <w:rsid w:val="00735C40"/>
    <w:rsid w:val="007442DF"/>
    <w:rsid w:val="00751920"/>
    <w:rsid w:val="00751AB2"/>
    <w:rsid w:val="00755246"/>
    <w:rsid w:val="00760F76"/>
    <w:rsid w:val="00765499"/>
    <w:rsid w:val="00765530"/>
    <w:rsid w:val="0077059D"/>
    <w:rsid w:val="00773D10"/>
    <w:rsid w:val="0078387B"/>
    <w:rsid w:val="00786E0F"/>
    <w:rsid w:val="00795BAD"/>
    <w:rsid w:val="00797EBC"/>
    <w:rsid w:val="007A1D45"/>
    <w:rsid w:val="007A4DFC"/>
    <w:rsid w:val="007B502C"/>
    <w:rsid w:val="007C01AD"/>
    <w:rsid w:val="007C0A17"/>
    <w:rsid w:val="007C2A6D"/>
    <w:rsid w:val="007C2CD7"/>
    <w:rsid w:val="007C5209"/>
    <w:rsid w:val="007C649B"/>
    <w:rsid w:val="007D0280"/>
    <w:rsid w:val="007D2A3B"/>
    <w:rsid w:val="007D44F1"/>
    <w:rsid w:val="007D4B09"/>
    <w:rsid w:val="007E67B0"/>
    <w:rsid w:val="007F4148"/>
    <w:rsid w:val="0080528B"/>
    <w:rsid w:val="00812CE0"/>
    <w:rsid w:val="008149BA"/>
    <w:rsid w:val="008200FF"/>
    <w:rsid w:val="008218A1"/>
    <w:rsid w:val="00823F4F"/>
    <w:rsid w:val="00827280"/>
    <w:rsid w:val="00831A31"/>
    <w:rsid w:val="008370BD"/>
    <w:rsid w:val="008724D4"/>
    <w:rsid w:val="00875943"/>
    <w:rsid w:val="00881F5A"/>
    <w:rsid w:val="00882ADD"/>
    <w:rsid w:val="00890A35"/>
    <w:rsid w:val="008938F1"/>
    <w:rsid w:val="008947D3"/>
    <w:rsid w:val="0089673A"/>
    <w:rsid w:val="008A2202"/>
    <w:rsid w:val="008A52D3"/>
    <w:rsid w:val="008A7592"/>
    <w:rsid w:val="008B1093"/>
    <w:rsid w:val="008C4F22"/>
    <w:rsid w:val="008C548A"/>
    <w:rsid w:val="008C5CFC"/>
    <w:rsid w:val="008C61EC"/>
    <w:rsid w:val="008C6B4E"/>
    <w:rsid w:val="008D5CAD"/>
    <w:rsid w:val="008E123B"/>
    <w:rsid w:val="008E341C"/>
    <w:rsid w:val="008E55CD"/>
    <w:rsid w:val="008E5D29"/>
    <w:rsid w:val="008E65B3"/>
    <w:rsid w:val="008F31C5"/>
    <w:rsid w:val="008F455A"/>
    <w:rsid w:val="0090027F"/>
    <w:rsid w:val="009003AA"/>
    <w:rsid w:val="009032BC"/>
    <w:rsid w:val="0090484B"/>
    <w:rsid w:val="00905AD9"/>
    <w:rsid w:val="009173B2"/>
    <w:rsid w:val="009262D2"/>
    <w:rsid w:val="00940E02"/>
    <w:rsid w:val="009417F3"/>
    <w:rsid w:val="009446F3"/>
    <w:rsid w:val="00945A75"/>
    <w:rsid w:val="00946198"/>
    <w:rsid w:val="0095181B"/>
    <w:rsid w:val="00960489"/>
    <w:rsid w:val="00961ABE"/>
    <w:rsid w:val="00962EA5"/>
    <w:rsid w:val="00967261"/>
    <w:rsid w:val="00972127"/>
    <w:rsid w:val="00973E2C"/>
    <w:rsid w:val="00976641"/>
    <w:rsid w:val="009918DB"/>
    <w:rsid w:val="00992586"/>
    <w:rsid w:val="00996957"/>
    <w:rsid w:val="00997326"/>
    <w:rsid w:val="009A2D59"/>
    <w:rsid w:val="009A5863"/>
    <w:rsid w:val="009A59C3"/>
    <w:rsid w:val="009B0FD8"/>
    <w:rsid w:val="009B2FE9"/>
    <w:rsid w:val="009B756B"/>
    <w:rsid w:val="009C20DF"/>
    <w:rsid w:val="009C698D"/>
    <w:rsid w:val="009D055E"/>
    <w:rsid w:val="009D7A9A"/>
    <w:rsid w:val="009E0B43"/>
    <w:rsid w:val="009E4436"/>
    <w:rsid w:val="009E4E20"/>
    <w:rsid w:val="009F0A8F"/>
    <w:rsid w:val="009F6707"/>
    <w:rsid w:val="00A1066E"/>
    <w:rsid w:val="00A11BA9"/>
    <w:rsid w:val="00A11FC7"/>
    <w:rsid w:val="00A13CDB"/>
    <w:rsid w:val="00A13DE5"/>
    <w:rsid w:val="00A13EC4"/>
    <w:rsid w:val="00A25499"/>
    <w:rsid w:val="00A25E9C"/>
    <w:rsid w:val="00A2704A"/>
    <w:rsid w:val="00A30161"/>
    <w:rsid w:val="00A36B82"/>
    <w:rsid w:val="00A411F1"/>
    <w:rsid w:val="00A43803"/>
    <w:rsid w:val="00A51552"/>
    <w:rsid w:val="00A56B2B"/>
    <w:rsid w:val="00A618C7"/>
    <w:rsid w:val="00A62BDB"/>
    <w:rsid w:val="00A642E3"/>
    <w:rsid w:val="00A7218A"/>
    <w:rsid w:val="00A77001"/>
    <w:rsid w:val="00A84167"/>
    <w:rsid w:val="00AA6011"/>
    <w:rsid w:val="00AA6AC4"/>
    <w:rsid w:val="00AA7C3E"/>
    <w:rsid w:val="00AB0221"/>
    <w:rsid w:val="00AB11B0"/>
    <w:rsid w:val="00AB4B55"/>
    <w:rsid w:val="00AC59F9"/>
    <w:rsid w:val="00AD2439"/>
    <w:rsid w:val="00AD6B6A"/>
    <w:rsid w:val="00AF3971"/>
    <w:rsid w:val="00B01729"/>
    <w:rsid w:val="00B023F1"/>
    <w:rsid w:val="00B02D7F"/>
    <w:rsid w:val="00B058E3"/>
    <w:rsid w:val="00B05A16"/>
    <w:rsid w:val="00B076D1"/>
    <w:rsid w:val="00B1442F"/>
    <w:rsid w:val="00B1655A"/>
    <w:rsid w:val="00B23CB4"/>
    <w:rsid w:val="00B24034"/>
    <w:rsid w:val="00B37689"/>
    <w:rsid w:val="00B444BD"/>
    <w:rsid w:val="00B4646A"/>
    <w:rsid w:val="00B508B4"/>
    <w:rsid w:val="00B565E5"/>
    <w:rsid w:val="00B5662E"/>
    <w:rsid w:val="00B60537"/>
    <w:rsid w:val="00B77133"/>
    <w:rsid w:val="00B81177"/>
    <w:rsid w:val="00B811E4"/>
    <w:rsid w:val="00B82A66"/>
    <w:rsid w:val="00B849D0"/>
    <w:rsid w:val="00B865AC"/>
    <w:rsid w:val="00B919E4"/>
    <w:rsid w:val="00B94101"/>
    <w:rsid w:val="00B94DA9"/>
    <w:rsid w:val="00BA503B"/>
    <w:rsid w:val="00BA60F6"/>
    <w:rsid w:val="00BB3A5C"/>
    <w:rsid w:val="00BB5A4E"/>
    <w:rsid w:val="00BC47AC"/>
    <w:rsid w:val="00BC77C0"/>
    <w:rsid w:val="00BD19C4"/>
    <w:rsid w:val="00BD3306"/>
    <w:rsid w:val="00BE0397"/>
    <w:rsid w:val="00BE4288"/>
    <w:rsid w:val="00BF33C7"/>
    <w:rsid w:val="00BF4EEE"/>
    <w:rsid w:val="00C053A4"/>
    <w:rsid w:val="00C118B2"/>
    <w:rsid w:val="00C14A17"/>
    <w:rsid w:val="00C1534D"/>
    <w:rsid w:val="00C174FF"/>
    <w:rsid w:val="00C31285"/>
    <w:rsid w:val="00C31D92"/>
    <w:rsid w:val="00C34734"/>
    <w:rsid w:val="00C37629"/>
    <w:rsid w:val="00C43D82"/>
    <w:rsid w:val="00C447A6"/>
    <w:rsid w:val="00C5060D"/>
    <w:rsid w:val="00C51A6E"/>
    <w:rsid w:val="00C5250E"/>
    <w:rsid w:val="00C573E6"/>
    <w:rsid w:val="00C63FC1"/>
    <w:rsid w:val="00C6554F"/>
    <w:rsid w:val="00C80D01"/>
    <w:rsid w:val="00C85B47"/>
    <w:rsid w:val="00C939C4"/>
    <w:rsid w:val="00CA17B1"/>
    <w:rsid w:val="00CA1E30"/>
    <w:rsid w:val="00CA2656"/>
    <w:rsid w:val="00CA3A32"/>
    <w:rsid w:val="00CB4EA6"/>
    <w:rsid w:val="00CC250A"/>
    <w:rsid w:val="00CC2CD2"/>
    <w:rsid w:val="00CD0415"/>
    <w:rsid w:val="00CD2A8D"/>
    <w:rsid w:val="00CD4259"/>
    <w:rsid w:val="00CD70F4"/>
    <w:rsid w:val="00CE0A7F"/>
    <w:rsid w:val="00CE2735"/>
    <w:rsid w:val="00CE6FA9"/>
    <w:rsid w:val="00CF40A9"/>
    <w:rsid w:val="00D01C13"/>
    <w:rsid w:val="00D0355D"/>
    <w:rsid w:val="00D135B0"/>
    <w:rsid w:val="00D143D4"/>
    <w:rsid w:val="00D16BD5"/>
    <w:rsid w:val="00D20B84"/>
    <w:rsid w:val="00D23B1A"/>
    <w:rsid w:val="00D24044"/>
    <w:rsid w:val="00D27B15"/>
    <w:rsid w:val="00D332FF"/>
    <w:rsid w:val="00D363C8"/>
    <w:rsid w:val="00D376CF"/>
    <w:rsid w:val="00D4257E"/>
    <w:rsid w:val="00D45830"/>
    <w:rsid w:val="00D54119"/>
    <w:rsid w:val="00D5475C"/>
    <w:rsid w:val="00D56B36"/>
    <w:rsid w:val="00D72064"/>
    <w:rsid w:val="00D73559"/>
    <w:rsid w:val="00D73F1A"/>
    <w:rsid w:val="00D75881"/>
    <w:rsid w:val="00D866E1"/>
    <w:rsid w:val="00D86D0E"/>
    <w:rsid w:val="00D878E7"/>
    <w:rsid w:val="00D90DD1"/>
    <w:rsid w:val="00D92E0D"/>
    <w:rsid w:val="00D958CE"/>
    <w:rsid w:val="00D96307"/>
    <w:rsid w:val="00D96458"/>
    <w:rsid w:val="00DA3A63"/>
    <w:rsid w:val="00DA4D8F"/>
    <w:rsid w:val="00DA6561"/>
    <w:rsid w:val="00DC0777"/>
    <w:rsid w:val="00DC183E"/>
    <w:rsid w:val="00DC4722"/>
    <w:rsid w:val="00DC50F4"/>
    <w:rsid w:val="00DD2A47"/>
    <w:rsid w:val="00DF00C1"/>
    <w:rsid w:val="00DF064C"/>
    <w:rsid w:val="00DF5F12"/>
    <w:rsid w:val="00DF6186"/>
    <w:rsid w:val="00E00163"/>
    <w:rsid w:val="00E00DEC"/>
    <w:rsid w:val="00E01B09"/>
    <w:rsid w:val="00E05188"/>
    <w:rsid w:val="00E161E1"/>
    <w:rsid w:val="00E25AEC"/>
    <w:rsid w:val="00E25FCB"/>
    <w:rsid w:val="00E279F3"/>
    <w:rsid w:val="00E41A94"/>
    <w:rsid w:val="00E44869"/>
    <w:rsid w:val="00E45571"/>
    <w:rsid w:val="00E465DC"/>
    <w:rsid w:val="00E47F05"/>
    <w:rsid w:val="00E47F97"/>
    <w:rsid w:val="00E504ED"/>
    <w:rsid w:val="00E509AD"/>
    <w:rsid w:val="00E552E1"/>
    <w:rsid w:val="00E55722"/>
    <w:rsid w:val="00E62293"/>
    <w:rsid w:val="00E62C9B"/>
    <w:rsid w:val="00E65546"/>
    <w:rsid w:val="00E72960"/>
    <w:rsid w:val="00E754EB"/>
    <w:rsid w:val="00E816EB"/>
    <w:rsid w:val="00E85AF8"/>
    <w:rsid w:val="00E87086"/>
    <w:rsid w:val="00E903A3"/>
    <w:rsid w:val="00E91D39"/>
    <w:rsid w:val="00E94A37"/>
    <w:rsid w:val="00EA284E"/>
    <w:rsid w:val="00EA2F45"/>
    <w:rsid w:val="00EA44A9"/>
    <w:rsid w:val="00EA4EDC"/>
    <w:rsid w:val="00EA7700"/>
    <w:rsid w:val="00EB06DD"/>
    <w:rsid w:val="00EB292A"/>
    <w:rsid w:val="00EB594D"/>
    <w:rsid w:val="00EC5022"/>
    <w:rsid w:val="00EC6677"/>
    <w:rsid w:val="00ED3288"/>
    <w:rsid w:val="00ED520D"/>
    <w:rsid w:val="00ED6D6C"/>
    <w:rsid w:val="00EE242F"/>
    <w:rsid w:val="00EE250B"/>
    <w:rsid w:val="00EE38DC"/>
    <w:rsid w:val="00EE684E"/>
    <w:rsid w:val="00EF3D02"/>
    <w:rsid w:val="00EF4663"/>
    <w:rsid w:val="00EF5AA8"/>
    <w:rsid w:val="00F019FE"/>
    <w:rsid w:val="00F04484"/>
    <w:rsid w:val="00F04589"/>
    <w:rsid w:val="00F061C3"/>
    <w:rsid w:val="00F13D01"/>
    <w:rsid w:val="00F14BAE"/>
    <w:rsid w:val="00F178E6"/>
    <w:rsid w:val="00F219C0"/>
    <w:rsid w:val="00F2453B"/>
    <w:rsid w:val="00F25B9F"/>
    <w:rsid w:val="00F33ED4"/>
    <w:rsid w:val="00F42D73"/>
    <w:rsid w:val="00F50240"/>
    <w:rsid w:val="00F5265F"/>
    <w:rsid w:val="00F53DC5"/>
    <w:rsid w:val="00F63C64"/>
    <w:rsid w:val="00F66616"/>
    <w:rsid w:val="00F67E93"/>
    <w:rsid w:val="00F73230"/>
    <w:rsid w:val="00F805E8"/>
    <w:rsid w:val="00F911D1"/>
    <w:rsid w:val="00F939FE"/>
    <w:rsid w:val="00FA21F2"/>
    <w:rsid w:val="00FA6786"/>
    <w:rsid w:val="00FB612C"/>
    <w:rsid w:val="00FC5341"/>
    <w:rsid w:val="00FC5F38"/>
    <w:rsid w:val="00FC70C6"/>
    <w:rsid w:val="00FD0B3D"/>
    <w:rsid w:val="00FE164A"/>
    <w:rsid w:val="00FE796C"/>
    <w:rsid w:val="00FF1049"/>
    <w:rsid w:val="00FF3C43"/>
    <w:rsid w:val="07B4294E"/>
    <w:rsid w:val="18FFF74F"/>
    <w:rsid w:val="1E4F9DEB"/>
    <w:rsid w:val="1FCBF35B"/>
    <w:rsid w:val="346433CF"/>
    <w:rsid w:val="39FBE2D5"/>
    <w:rsid w:val="3B9A20E1"/>
    <w:rsid w:val="3CD8EF5A"/>
    <w:rsid w:val="445E52BB"/>
    <w:rsid w:val="4B3BC1D3"/>
    <w:rsid w:val="53FA1C91"/>
    <w:rsid w:val="566E7089"/>
    <w:rsid w:val="5B3ED5F2"/>
    <w:rsid w:val="5C8957E0"/>
    <w:rsid w:val="73DAD25B"/>
    <w:rsid w:val="747240B6"/>
  </w:rsids>
  <m:mathPr>
    <m:mathFont m:val="Cambria Math"/>
    <m:brkBin m:val="before"/>
    <m:brkBinSub m:val="--"/>
    <m:smallFrac m:val="0"/>
    <m:dispDef/>
    <m:lMargin m:val="0"/>
    <m:rMargin m:val="0"/>
    <m:defJc m:val="centerGroup"/>
    <m:wrapIndent m:val="1440"/>
    <m:intLim m:val="subSup"/>
    <m:naryLim m:val="undOvr"/>
  </m:mathPr>
  <w:themeFontLang w:val="cs-CZ"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E8D2C"/>
  <w15:docId w15:val="{A7EBBB95-92EA-4394-9F83-9D0141FC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cs-CZ"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200" w:line="276" w:lineRule="auto"/>
      <w:jc w:val="both"/>
    </w:pPr>
    <w:rPr>
      <w:rFonts w:eastAsia="Yu Mincho"/>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spacing w:after="0" w:line="240" w:lineRule="auto"/>
      <w:jc w:val="left"/>
    </w:pPr>
    <w:rPr>
      <w:rFonts w:eastAsia="Calibri"/>
      <w:sz w:val="24"/>
      <w:szCs w:val="24"/>
    </w:rPr>
  </w:style>
  <w:style w:type="character" w:customStyle="1" w:styleId="ZhlavChar">
    <w:name w:val="Záhlaví Char"/>
    <w:basedOn w:val="Standardnpsmoodstavce"/>
  </w:style>
  <w:style w:type="paragraph" w:styleId="Zpat">
    <w:name w:val="footer"/>
    <w:basedOn w:val="Normln"/>
    <w:pPr>
      <w:tabs>
        <w:tab w:val="center" w:pos="4536"/>
        <w:tab w:val="right" w:pos="9072"/>
      </w:tabs>
      <w:spacing w:after="0" w:line="240" w:lineRule="auto"/>
      <w:jc w:val="left"/>
    </w:pPr>
    <w:rPr>
      <w:rFonts w:eastAsia="Calibri"/>
      <w:sz w:val="24"/>
      <w:szCs w:val="24"/>
    </w:rPr>
  </w:style>
  <w:style w:type="character" w:customStyle="1" w:styleId="ZpatChar">
    <w:name w:val="Zápatí Char"/>
    <w:basedOn w:val="Standardnpsmoodstavce"/>
  </w:style>
  <w:style w:type="character" w:styleId="Hypertextovodkaz">
    <w:name w:val="Hyperlink"/>
    <w:basedOn w:val="Standardnpsmoodstavce"/>
    <w:rPr>
      <w:color w:val="0563C1"/>
      <w:u w:val="single"/>
    </w:rPr>
  </w:style>
  <w:style w:type="character" w:customStyle="1" w:styleId="Nevyeenzmnka1">
    <w:name w:val="Nevyřešená zmínka1"/>
    <w:basedOn w:val="Standardnpsmoodstavce"/>
    <w:rPr>
      <w:color w:val="605E5C"/>
      <w:shd w:val="clear" w:color="auto" w:fill="E1DFDD"/>
    </w:rPr>
  </w:style>
  <w:style w:type="paragraph" w:styleId="Revize">
    <w:name w:val="Revision"/>
    <w:pPr>
      <w:suppressAutoHyphens/>
    </w:pPr>
    <w:rPr>
      <w:rFonts w:eastAsia="Yu Mincho"/>
      <w:sz w:val="20"/>
      <w:szCs w:val="20"/>
    </w:rPr>
  </w:style>
  <w:style w:type="character" w:styleId="Sledovanodkaz">
    <w:name w:val="FollowedHyperlink"/>
    <w:basedOn w:val="Standardnpsmoodstavce"/>
    <w:rPr>
      <w:color w:val="954F72"/>
      <w:u w:val="single"/>
    </w:rPr>
  </w:style>
  <w:style w:type="paragraph" w:styleId="Textbubliny">
    <w:name w:val="Balloon Text"/>
    <w:basedOn w:val="Normln"/>
    <w:pPr>
      <w:spacing w:after="0" w:line="240" w:lineRule="auto"/>
    </w:pPr>
    <w:rPr>
      <w:rFonts w:ascii="Segoe UI" w:hAnsi="Segoe UI" w:cs="Segoe UI"/>
      <w:sz w:val="18"/>
      <w:szCs w:val="18"/>
    </w:rPr>
  </w:style>
  <w:style w:type="character" w:customStyle="1" w:styleId="TextbublinyChar">
    <w:name w:val="Text bubliny Char"/>
    <w:basedOn w:val="Standardnpsmoodstavce"/>
    <w:rPr>
      <w:rFonts w:ascii="Segoe UI" w:eastAsia="Yu Mincho" w:hAnsi="Segoe UI" w:cs="Segoe UI"/>
      <w:sz w:val="18"/>
      <w:szCs w:val="18"/>
    </w:rPr>
  </w:style>
  <w:style w:type="character" w:styleId="Odkaznakoment">
    <w:name w:val="annotation reference"/>
    <w:basedOn w:val="Standardnpsmoodstavce"/>
    <w:uiPriority w:val="99"/>
    <w:rPr>
      <w:sz w:val="16"/>
      <w:szCs w:val="16"/>
    </w:rPr>
  </w:style>
  <w:style w:type="paragraph" w:styleId="Textkomente">
    <w:name w:val="annotation text"/>
    <w:basedOn w:val="Normln"/>
    <w:uiPriority w:val="99"/>
    <w:pPr>
      <w:spacing w:line="240" w:lineRule="auto"/>
    </w:pPr>
  </w:style>
  <w:style w:type="character" w:customStyle="1" w:styleId="TextkomenteChar">
    <w:name w:val="Text komentáře Char"/>
    <w:basedOn w:val="Standardnpsmoodstavce"/>
    <w:uiPriority w:val="99"/>
    <w:rPr>
      <w:rFonts w:eastAsia="Yu Mincho"/>
      <w:sz w:val="20"/>
      <w:szCs w:val="20"/>
    </w:rPr>
  </w:style>
  <w:style w:type="paragraph" w:styleId="Pedmtkomente">
    <w:name w:val="annotation subject"/>
    <w:basedOn w:val="Textkomente"/>
    <w:next w:val="Textkomente"/>
    <w:rPr>
      <w:b/>
      <w:bCs/>
    </w:rPr>
  </w:style>
  <w:style w:type="character" w:customStyle="1" w:styleId="PedmtkomenteChar">
    <w:name w:val="Předmět komentáře Char"/>
    <w:basedOn w:val="TextkomenteChar"/>
    <w:rPr>
      <w:rFonts w:eastAsia="Yu Mincho"/>
      <w:b/>
      <w:bCs/>
      <w:sz w:val="20"/>
      <w:szCs w:val="20"/>
    </w:rPr>
  </w:style>
  <w:style w:type="character" w:customStyle="1" w:styleId="apple-converted-space">
    <w:name w:val="apple-converted-space"/>
    <w:basedOn w:val="Standardnpsmoodstavce"/>
  </w:style>
  <w:style w:type="character" w:customStyle="1" w:styleId="Nevyeenzmnka2">
    <w:name w:val="Nevyřešená zmínka2"/>
    <w:basedOn w:val="Standardnpsmoodstavce"/>
    <w:rPr>
      <w:color w:val="605E5C"/>
      <w:shd w:val="clear" w:color="auto" w:fill="E1DFDD"/>
    </w:rPr>
  </w:style>
  <w:style w:type="paragraph" w:styleId="Normlnweb">
    <w:name w:val="Normal (Web)"/>
    <w:basedOn w:val="Normln"/>
    <w:uiPriority w:val="99"/>
    <w:pPr>
      <w:spacing w:before="100" w:after="100" w:line="240" w:lineRule="auto"/>
      <w:jc w:val="left"/>
    </w:pPr>
    <w:rPr>
      <w:rFonts w:ascii="Times New Roman" w:eastAsia="Times New Roman" w:hAnsi="Times New Roman" w:cs="Times New Roman"/>
      <w:sz w:val="24"/>
      <w:szCs w:val="24"/>
      <w:lang w:eastAsia="cs-CZ"/>
    </w:rPr>
  </w:style>
  <w:style w:type="paragraph" w:styleId="Prosttext">
    <w:name w:val="Plain Text"/>
    <w:basedOn w:val="Normln"/>
    <w:pPr>
      <w:spacing w:after="0" w:line="240" w:lineRule="auto"/>
      <w:jc w:val="left"/>
    </w:pPr>
    <w:rPr>
      <w:rFonts w:ascii="Consolas" w:eastAsia="Times New Roman" w:hAnsi="Consolas" w:cs="Times New Roman"/>
      <w:sz w:val="21"/>
      <w:szCs w:val="21"/>
      <w:lang w:eastAsia="cs-CZ"/>
    </w:rPr>
  </w:style>
  <w:style w:type="character" w:customStyle="1" w:styleId="ProsttextChar">
    <w:name w:val="Prostý text Char"/>
    <w:basedOn w:val="Standardnpsmoodstavce"/>
    <w:rPr>
      <w:rFonts w:ascii="Consolas" w:eastAsia="Times New Roman" w:hAnsi="Consolas" w:cs="Times New Roman"/>
      <w:sz w:val="21"/>
      <w:szCs w:val="21"/>
      <w:lang w:eastAsia="cs-CZ"/>
    </w:rPr>
  </w:style>
  <w:style w:type="character" w:styleId="Siln">
    <w:name w:val="Strong"/>
    <w:basedOn w:val="Standardnpsmoodstavce"/>
    <w:uiPriority w:val="22"/>
    <w:qFormat/>
    <w:rPr>
      <w:b/>
      <w:bCs/>
    </w:rPr>
  </w:style>
  <w:style w:type="paragraph" w:styleId="Odstavecseseznamem">
    <w:name w:val="List Paragraph"/>
    <w:basedOn w:val="Normln"/>
    <w:pPr>
      <w:spacing w:after="0" w:line="240" w:lineRule="auto"/>
      <w:ind w:left="720"/>
      <w:jc w:val="left"/>
    </w:pPr>
    <w:rPr>
      <w:rFonts w:ascii="Times New Roman" w:eastAsia="Calibri" w:hAnsi="Times New Roman" w:cs="Times New Roman"/>
      <w:sz w:val="24"/>
      <w:szCs w:val="24"/>
      <w:lang w:eastAsia="cs-CZ"/>
    </w:rPr>
  </w:style>
  <w:style w:type="character" w:customStyle="1" w:styleId="normaltextrun">
    <w:name w:val="normaltextrun"/>
    <w:basedOn w:val="Standardnpsmoodstavce"/>
  </w:style>
  <w:style w:type="character" w:customStyle="1" w:styleId="eop">
    <w:name w:val="eop"/>
    <w:basedOn w:val="Standardnpsmoodstavce"/>
  </w:style>
  <w:style w:type="character" w:styleId="Zdraznn">
    <w:name w:val="Emphasis"/>
    <w:basedOn w:val="Standardnpsmoodstavce"/>
    <w:uiPriority w:val="20"/>
    <w:qFormat/>
    <w:rPr>
      <w:i/>
      <w:iCs/>
    </w:rPr>
  </w:style>
  <w:style w:type="character" w:styleId="Nevyeenzmnka">
    <w:name w:val="Unresolved Mention"/>
    <w:basedOn w:val="Standardnpsmoodstavce"/>
    <w:rPr>
      <w:color w:val="605E5C"/>
      <w:shd w:val="clear" w:color="auto" w:fill="E1DFDD"/>
    </w:rPr>
  </w:style>
  <w:style w:type="paragraph" w:customStyle="1" w:styleId="PullQuote">
    <w:name w:val="Pull Quote"/>
    <w:rsid w:val="00E47F05"/>
    <w:pPr>
      <w:autoSpaceDN/>
      <w:spacing w:before="80" w:after="80" w:line="276" w:lineRule="auto"/>
      <w:ind w:left="283" w:right="283"/>
      <w:textAlignment w:val="auto"/>
    </w:pPr>
    <w:rPr>
      <w:rFonts w:ascii="Georgia" w:eastAsiaTheme="minorEastAsia" w:hAnsi="Georgia" w:cstheme="minorBidi"/>
      <w:i/>
      <w:color w:val="23463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ristyna.Samkova@Passerinvest.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noveroztyly.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veroztyly.cz/" TargetMode="External"/><Relationship Id="rId5" Type="http://schemas.openxmlformats.org/officeDocument/2006/relationships/settings" Target="settings.xml"/><Relationship Id="rId15" Type="http://schemas.openxmlformats.org/officeDocument/2006/relationships/hyperlink" Target="mailto:kamila.zitnakova@crestcom.cz" TargetMode="External"/><Relationship Id="rId10" Type="http://schemas.openxmlformats.org/officeDocument/2006/relationships/hyperlink" Target="https://noveroztyly.cz/"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brumlovka.cz/k-pronajmu/kancelare?_gl=1*1wyx3ww*_up*MQ..*_ga*MTg5ODI5ODgyMC4xNzkxMjkwOTcw*_ga_4RG17XBQ5J*czE3OTEyOTA5NjkkbzEkZzAkdDE3OTEyOTA5NjkkajYwJGwwJGgxMzUyNjQxOTc4/" TargetMode="External"/><Relationship Id="rId14" Type="http://schemas.openxmlformats.org/officeDocument/2006/relationships/hyperlink" Target="http://www.bbcentru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990670-4BC7-4176-A526-265932BB1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30F52-0E74-47A0-BC4E-F046E3E3DD4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9C1D51FE-2AD3-4E7D-BA4C-827237728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1425</Words>
  <Characters>8408</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Hruška</dc:creator>
  <dc:description/>
  <cp:lastModifiedBy>Vendula Pavlíčková | CrestCommunications a.s.</cp:lastModifiedBy>
  <cp:revision>20</cp:revision>
  <cp:lastPrinted>2026-01-23T13:29:00Z</cp:lastPrinted>
  <dcterms:created xsi:type="dcterms:W3CDTF">2026-10-02T10:04:00Z</dcterms:created>
  <dcterms:modified xsi:type="dcterms:W3CDTF">2026-10-07T09:49:00Z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